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1.xml" ContentType="application/vnd.openxmlformats-officedocument.themeOverride+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4.xml" ContentType="application/vnd.openxmlformats-officedocument.themeOverrid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16.xml" ContentType="application/vnd.openxmlformats-officedocument.themeOverrid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1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0EB3" w:rsidRDefault="009A0EB3" w:rsidP="00816E4C">
      <w:pPr>
        <w:pStyle w:val="Heading4"/>
      </w:pPr>
    </w:p>
    <w:p w:rsidR="003E1929" w:rsidRDefault="003E1929" w:rsidP="003E1929">
      <w:pPr>
        <w:rPr>
          <w:lang w:val="en-IN" w:eastAsia="en-IN"/>
        </w:rPr>
      </w:pPr>
    </w:p>
    <w:p w:rsidR="003E1929" w:rsidRDefault="003E1929" w:rsidP="003E1929">
      <w:pPr>
        <w:rPr>
          <w:lang w:val="en-IN" w:eastAsia="en-IN"/>
        </w:rPr>
      </w:pPr>
    </w:p>
    <w:p w:rsidR="003E1929" w:rsidRDefault="003E1929" w:rsidP="003E1929">
      <w:pPr>
        <w:rPr>
          <w:lang w:val="en-IN" w:eastAsia="en-IN"/>
        </w:rPr>
      </w:pPr>
    </w:p>
    <w:p w:rsidR="003E1929" w:rsidRPr="003E1929" w:rsidRDefault="003E1929" w:rsidP="003E1929">
      <w:pPr>
        <w:rPr>
          <w:lang w:val="en-IN" w:eastAsia="en-IN"/>
        </w:rPr>
      </w:pPr>
    </w:p>
    <w:p w:rsidR="009A0EB3" w:rsidRPr="002726A8" w:rsidRDefault="009A0EB3" w:rsidP="009A0EB3">
      <w:pPr>
        <w:spacing w:line="20" w:lineRule="atLeast"/>
        <w:jc w:val="center"/>
        <w:outlineLvl w:val="0"/>
        <w:rPr>
          <w:rFonts w:ascii="Garamond" w:hAnsi="Garamond"/>
          <w:b/>
          <w:color w:val="000080"/>
          <w:sz w:val="144"/>
          <w:szCs w:val="144"/>
        </w:rPr>
      </w:pPr>
      <w:r w:rsidRPr="002726A8">
        <w:rPr>
          <w:rFonts w:ascii="Garamond" w:hAnsi="Garamond"/>
          <w:b/>
          <w:color w:val="000080"/>
          <w:sz w:val="144"/>
          <w:szCs w:val="144"/>
        </w:rPr>
        <w:t>SEBI</w:t>
      </w:r>
    </w:p>
    <w:p w:rsidR="009A0EB3" w:rsidRPr="002726A8" w:rsidRDefault="009A0EB3" w:rsidP="009A0EB3">
      <w:pPr>
        <w:spacing w:line="20" w:lineRule="atLeast"/>
        <w:jc w:val="center"/>
        <w:outlineLvl w:val="0"/>
        <w:rPr>
          <w:rFonts w:ascii="Garamond" w:hAnsi="Garamond"/>
          <w:b/>
          <w:color w:val="000080"/>
          <w:sz w:val="56"/>
          <w:szCs w:val="56"/>
        </w:rPr>
      </w:pPr>
      <w:r w:rsidRPr="002726A8">
        <w:rPr>
          <w:rFonts w:ascii="Garamond" w:hAnsi="Garamond"/>
          <w:b/>
          <w:color w:val="000080"/>
          <w:sz w:val="56"/>
          <w:szCs w:val="56"/>
        </w:rPr>
        <w:t>BULLETIN</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1D4399" w:rsidP="002C3645">
      <w:pPr>
        <w:spacing w:line="20" w:lineRule="atLeast"/>
        <w:jc w:val="center"/>
        <w:rPr>
          <w:rFonts w:ascii="Palatino Linotype" w:hAnsi="Palatino Linotype"/>
          <w:b/>
          <w:color w:val="FF0000"/>
          <w:sz w:val="22"/>
          <w:szCs w:val="22"/>
        </w:rPr>
      </w:pPr>
      <w:r>
        <w:rPr>
          <w:rFonts w:ascii="Palatino Linotype" w:hAnsi="Palatino Linotype"/>
          <w:b/>
          <w:color w:val="000080"/>
          <w:sz w:val="22"/>
          <w:szCs w:val="22"/>
        </w:rPr>
        <w:t xml:space="preserve">APRIL </w:t>
      </w:r>
      <w:r w:rsidR="00074803">
        <w:rPr>
          <w:rFonts w:ascii="Palatino Linotype" w:hAnsi="Palatino Linotype"/>
          <w:b/>
          <w:color w:val="000080"/>
          <w:sz w:val="22"/>
          <w:szCs w:val="22"/>
        </w:rPr>
        <w:t>2</w:t>
      </w:r>
      <w:r w:rsidR="009B7E61">
        <w:rPr>
          <w:rFonts w:ascii="Palatino Linotype" w:hAnsi="Palatino Linotype"/>
          <w:b/>
          <w:color w:val="000080"/>
          <w:sz w:val="22"/>
          <w:szCs w:val="22"/>
        </w:rPr>
        <w:t>02</w:t>
      </w:r>
      <w:r w:rsidR="002361F1">
        <w:rPr>
          <w:rFonts w:ascii="Palatino Linotype" w:hAnsi="Palatino Linotype"/>
          <w:b/>
          <w:color w:val="000080"/>
          <w:sz w:val="22"/>
          <w:szCs w:val="22"/>
        </w:rPr>
        <w:t>1</w:t>
      </w:r>
      <w:r w:rsidR="008E4467">
        <w:rPr>
          <w:rFonts w:ascii="Palatino Linotype" w:hAnsi="Palatino Linotype"/>
          <w:b/>
          <w:color w:val="000080"/>
          <w:sz w:val="22"/>
          <w:szCs w:val="22"/>
        </w:rPr>
        <w:t xml:space="preserve">   VOL. 1</w:t>
      </w:r>
      <w:r w:rsidR="002361F1">
        <w:rPr>
          <w:rFonts w:ascii="Palatino Linotype" w:hAnsi="Palatino Linotype"/>
          <w:b/>
          <w:color w:val="000080"/>
          <w:sz w:val="22"/>
          <w:szCs w:val="22"/>
        </w:rPr>
        <w:t>9</w:t>
      </w:r>
      <w:r w:rsidR="008E4467">
        <w:rPr>
          <w:rFonts w:ascii="Palatino Linotype" w:hAnsi="Palatino Linotype"/>
          <w:b/>
          <w:color w:val="000080"/>
          <w:sz w:val="22"/>
          <w:szCs w:val="22"/>
        </w:rPr>
        <w:t xml:space="preserve">              </w:t>
      </w:r>
      <w:r w:rsidR="002C3645" w:rsidRPr="009A0EB3">
        <w:rPr>
          <w:rFonts w:ascii="Palatino Linotype" w:hAnsi="Palatino Linotype"/>
          <w:b/>
          <w:color w:val="000080"/>
          <w:sz w:val="22"/>
          <w:szCs w:val="22"/>
        </w:rPr>
        <w:t xml:space="preserve"> </w:t>
      </w:r>
      <w:r w:rsidR="00B20597">
        <w:rPr>
          <w:rFonts w:ascii="Palatino Linotype" w:hAnsi="Palatino Linotype"/>
          <w:b/>
          <w:color w:val="FF0000"/>
          <w:sz w:val="22"/>
          <w:szCs w:val="22"/>
        </w:rPr>
        <w:t xml:space="preserve">NUMBER </w:t>
      </w:r>
      <w:r w:rsidR="002361F1">
        <w:rPr>
          <w:rFonts w:ascii="Palatino Linotype" w:hAnsi="Palatino Linotype"/>
          <w:b/>
          <w:color w:val="FF0000"/>
          <w:sz w:val="22"/>
          <w:szCs w:val="22"/>
        </w:rPr>
        <w:t>0</w:t>
      </w:r>
      <w:r>
        <w:rPr>
          <w:rFonts w:ascii="Palatino Linotype" w:hAnsi="Palatino Linotype"/>
          <w:b/>
          <w:color w:val="FF0000"/>
          <w:sz w:val="22"/>
          <w:szCs w:val="22"/>
        </w:rPr>
        <w:t>4</w:t>
      </w: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(LOGO)</w:t>
      </w:r>
    </w:p>
    <w:p w:rsidR="0018049A" w:rsidRPr="009A0EB3" w:rsidRDefault="0018049A"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Default="002E18B1" w:rsidP="00B25DA6">
      <w:pPr>
        <w:jc w:val="center"/>
        <w:outlineLvl w:val="0"/>
        <w:rPr>
          <w:rFonts w:ascii="Palatino Linotype" w:hAnsi="Palatino Linotype" w:cs="Helvetica"/>
          <w:b/>
          <w:color w:val="000099"/>
          <w:sz w:val="22"/>
          <w:szCs w:val="22"/>
        </w:rPr>
      </w:pPr>
    </w:p>
    <w:p w:rsidR="002E18B1" w:rsidRPr="009A0EB3" w:rsidRDefault="002E18B1"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434487" w:rsidRPr="009A0EB3" w:rsidRDefault="0043448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8E4467" w:rsidRPr="009A0EB3" w:rsidRDefault="008E4467"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000080"/>
          <w:sz w:val="22"/>
          <w:szCs w:val="22"/>
        </w:rPr>
      </w:pPr>
      <w:r w:rsidRPr="009A0EB3">
        <w:rPr>
          <w:rFonts w:ascii="Palatino Linotype" w:hAnsi="Palatino Linotype"/>
          <w:b/>
          <w:color w:val="000080"/>
          <w:sz w:val="22"/>
          <w:szCs w:val="22"/>
        </w:rPr>
        <w:t>SECURITIES AND EXCHANGE BOARD OF INDIA</w:t>
      </w:r>
    </w:p>
    <w:p w:rsidR="002C3645" w:rsidRPr="009A0EB3" w:rsidRDefault="002C3645" w:rsidP="002C3645">
      <w:pPr>
        <w:spacing w:line="20" w:lineRule="atLeast"/>
        <w:jc w:val="both"/>
        <w:rPr>
          <w:rFonts w:ascii="Palatino Linotype" w:hAnsi="Palatino Linotype"/>
          <w:color w:val="FF0000"/>
          <w:sz w:val="22"/>
          <w:szCs w:val="22"/>
        </w:rPr>
      </w:pPr>
    </w:p>
    <w:p w:rsidR="009A0EB3" w:rsidRPr="009A0EB3" w:rsidRDefault="009A0EB3" w:rsidP="002C3645">
      <w:pPr>
        <w:spacing w:line="20" w:lineRule="atLeast"/>
        <w:rPr>
          <w:rFonts w:ascii="Palatino Linotype" w:hAnsi="Palatino Linotype"/>
          <w:b/>
          <w:sz w:val="22"/>
          <w:szCs w:val="22"/>
        </w:rPr>
      </w:pPr>
    </w:p>
    <w:p w:rsidR="002C3645" w:rsidRPr="009A0EB3" w:rsidRDefault="002C3645" w:rsidP="002C3645">
      <w:pPr>
        <w:spacing w:line="20" w:lineRule="atLeast"/>
        <w:rPr>
          <w:rFonts w:ascii="Palatino Linotype" w:hAnsi="Palatino Linotype"/>
          <w:b/>
          <w:sz w:val="22"/>
          <w:szCs w:val="22"/>
        </w:rPr>
      </w:pPr>
      <w:r w:rsidRPr="009A0EB3">
        <w:rPr>
          <w:rFonts w:ascii="Palatino Linotype" w:hAnsi="Palatino Linotype"/>
          <w:b/>
          <w:sz w:val="22"/>
          <w:szCs w:val="22"/>
        </w:rPr>
        <w:t xml:space="preserve">EDITORIAL COMMITTEE </w:t>
      </w:r>
      <w:r w:rsidR="009A0EB3" w:rsidRPr="009A0EB3">
        <w:rPr>
          <w:rFonts w:ascii="Palatino Linotype" w:hAnsi="Palatino Linotype"/>
          <w:b/>
          <w:sz w:val="22"/>
          <w:szCs w:val="22"/>
        </w:rPr>
        <w:br/>
      </w:r>
    </w:p>
    <w:p w:rsidR="00E4439E" w:rsidRDefault="00E4439E" w:rsidP="002C3645">
      <w:pPr>
        <w:spacing w:line="20" w:lineRule="atLeast"/>
        <w:jc w:val="both"/>
        <w:outlineLvl w:val="0"/>
        <w:rPr>
          <w:rFonts w:ascii="Palatino Linotype" w:hAnsi="Palatino Linotype"/>
          <w:b/>
          <w:sz w:val="22"/>
          <w:szCs w:val="22"/>
        </w:rPr>
      </w:pPr>
      <w:r w:rsidRPr="009E322F">
        <w:rPr>
          <w:rFonts w:ascii="Palatino Linotype" w:eastAsia="Times New Roman" w:hAnsi="Palatino Linotype"/>
          <w:b/>
          <w:sz w:val="22"/>
          <w:szCs w:val="22"/>
        </w:rPr>
        <w:t xml:space="preserve">Shri </w:t>
      </w:r>
      <w:r w:rsidRPr="00FE77E0">
        <w:rPr>
          <w:rFonts w:ascii="Palatino Linotype" w:eastAsia="Times New Roman" w:hAnsi="Palatino Linotype"/>
          <w:b/>
          <w:sz w:val="22"/>
          <w:szCs w:val="22"/>
        </w:rPr>
        <w:t>Amarjeet Singh</w:t>
      </w:r>
      <w:r w:rsidRPr="009A0EB3">
        <w:rPr>
          <w:rFonts w:ascii="Palatino Linotype" w:hAnsi="Palatino Linotype"/>
          <w:b/>
          <w:sz w:val="22"/>
          <w:szCs w:val="22"/>
        </w:rPr>
        <w:t xml:space="preserve"> </w:t>
      </w:r>
    </w:p>
    <w:p w:rsidR="002C3645" w:rsidRDefault="002C3645" w:rsidP="002C3645">
      <w:pPr>
        <w:spacing w:line="20" w:lineRule="atLeast"/>
        <w:jc w:val="both"/>
        <w:outlineLvl w:val="0"/>
        <w:rPr>
          <w:rFonts w:ascii="Palatino Linotype" w:hAnsi="Palatino Linotype"/>
          <w:b/>
          <w:sz w:val="22"/>
          <w:szCs w:val="22"/>
        </w:rPr>
      </w:pPr>
      <w:r w:rsidRPr="009A0EB3">
        <w:rPr>
          <w:rFonts w:ascii="Palatino Linotype" w:hAnsi="Palatino Linotype"/>
          <w:b/>
          <w:sz w:val="22"/>
          <w:szCs w:val="22"/>
        </w:rPr>
        <w:t xml:space="preserve">Dr. </w:t>
      </w:r>
      <w:r w:rsidR="004A4D62">
        <w:rPr>
          <w:rFonts w:ascii="Palatino Linotype" w:hAnsi="Palatino Linotype"/>
          <w:b/>
          <w:sz w:val="22"/>
          <w:szCs w:val="22"/>
        </w:rPr>
        <w:t xml:space="preserve"> </w:t>
      </w:r>
      <w:r w:rsidRPr="009A0EB3">
        <w:rPr>
          <w:rFonts w:ascii="Palatino Linotype" w:hAnsi="Palatino Linotype"/>
          <w:b/>
          <w:sz w:val="22"/>
          <w:szCs w:val="22"/>
        </w:rPr>
        <w:t>Prabhakar R. Patil</w:t>
      </w:r>
    </w:p>
    <w:p w:rsidR="00E71481"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 Prabhas Rath</w:t>
      </w:r>
    </w:p>
    <w:p w:rsidR="00012FAA" w:rsidRPr="009A0EB3" w:rsidRDefault="00012FAA"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Sangeeta Rathod</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Ms. Deepthi L.S.</w:t>
      </w:r>
    </w:p>
    <w:p w:rsidR="002C3645" w:rsidRPr="009A0EB3" w:rsidRDefault="00FD185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Dr.</w:t>
      </w:r>
      <w:r w:rsidR="002C3645" w:rsidRPr="009A0EB3">
        <w:rPr>
          <w:rFonts w:ascii="Palatino Linotype" w:hAnsi="Palatino Linotype"/>
          <w:b/>
          <w:sz w:val="22"/>
          <w:szCs w:val="22"/>
        </w:rPr>
        <w:t xml:space="preserve"> </w:t>
      </w:r>
      <w:r>
        <w:rPr>
          <w:rFonts w:ascii="Palatino Linotype" w:hAnsi="Palatino Linotype"/>
          <w:b/>
          <w:sz w:val="22"/>
          <w:szCs w:val="22"/>
        </w:rPr>
        <w:t xml:space="preserve"> Deepali Dixit</w:t>
      </w:r>
    </w:p>
    <w:p w:rsidR="002C3645" w:rsidRPr="009A0EB3" w:rsidRDefault="00E71481" w:rsidP="002C3645">
      <w:pPr>
        <w:spacing w:line="20" w:lineRule="atLeast"/>
        <w:jc w:val="both"/>
        <w:outlineLvl w:val="0"/>
        <w:rPr>
          <w:rFonts w:ascii="Palatino Linotype" w:hAnsi="Palatino Linotype"/>
          <w:b/>
          <w:sz w:val="22"/>
          <w:szCs w:val="22"/>
        </w:rPr>
      </w:pPr>
      <w:r>
        <w:rPr>
          <w:rFonts w:ascii="Palatino Linotype" w:hAnsi="Palatino Linotype"/>
          <w:b/>
          <w:sz w:val="22"/>
          <w:szCs w:val="22"/>
        </w:rPr>
        <w:t>Shri</w:t>
      </w:r>
      <w:r w:rsidR="002C3645" w:rsidRPr="009A0EB3">
        <w:rPr>
          <w:rFonts w:ascii="Palatino Linotype" w:hAnsi="Palatino Linotype"/>
          <w:b/>
          <w:sz w:val="22"/>
          <w:szCs w:val="22"/>
        </w:rPr>
        <w:t xml:space="preserve"> </w:t>
      </w:r>
      <w:r w:rsidR="00FD1851">
        <w:rPr>
          <w:rFonts w:ascii="Palatino Linotype" w:hAnsi="Palatino Linotype"/>
          <w:b/>
          <w:sz w:val="22"/>
          <w:szCs w:val="22"/>
        </w:rPr>
        <w:t>Jitendra Kumar</w:t>
      </w:r>
    </w:p>
    <w:p w:rsidR="002C3645" w:rsidRPr="009A0EB3" w:rsidRDefault="002C3645" w:rsidP="002C3645">
      <w:pPr>
        <w:spacing w:line="20" w:lineRule="atLeast"/>
        <w:jc w:val="both"/>
        <w:outlineLvl w:val="0"/>
        <w:rPr>
          <w:rFonts w:ascii="Palatino Linotype" w:hAnsi="Palatino Linotype"/>
          <w:b/>
          <w:sz w:val="22"/>
          <w:szCs w:val="22"/>
        </w:rPr>
      </w:pPr>
    </w:p>
    <w:p w:rsidR="002C3645" w:rsidRPr="009A0EB3" w:rsidRDefault="002C3645" w:rsidP="002C3645">
      <w:pPr>
        <w:spacing w:line="20" w:lineRule="atLeast"/>
        <w:jc w:val="both"/>
        <w:rPr>
          <w:rFonts w:ascii="Palatino Linotype" w:hAnsi="Palatino Linotype"/>
          <w:sz w:val="22"/>
          <w:szCs w:val="22"/>
        </w:rPr>
      </w:pPr>
    </w:p>
    <w:p w:rsidR="002C3645" w:rsidRPr="009A0EB3" w:rsidRDefault="002C3645" w:rsidP="002C3645">
      <w:pPr>
        <w:spacing w:line="20" w:lineRule="atLeast"/>
        <w:jc w:val="both"/>
        <w:rPr>
          <w:rFonts w:ascii="Palatino Linotype" w:hAnsi="Palatino Linotype"/>
          <w:sz w:val="22"/>
          <w:szCs w:val="22"/>
        </w:rPr>
      </w:pPr>
      <w:r w:rsidRPr="009A0EB3">
        <w:rPr>
          <w:rFonts w:ascii="Palatino Linotype" w:hAnsi="Palatino Linotype"/>
          <w:sz w:val="22"/>
          <w:szCs w:val="22"/>
        </w:rPr>
        <w:t xml:space="preserve">The Securities and Exchange Board of India Bulletin is issued by the Department of Economic and Policy Analysis, Securities and Exchange Board of India under the direction of an Editorial Committee. SEBI is not responsible for accuracy of data/information/interpretations and opinions expressed in the case of signed articles/speeches as authors are responsible for their personal views. SEBI has no objection to the material published herein being reproduced, provided an acknowledgement of the same is made. </w:t>
      </w:r>
      <w:r w:rsidRPr="009A0EB3">
        <w:rPr>
          <w:rFonts w:ascii="Palatino Linotype" w:hAnsi="Palatino Linotype"/>
          <w:bCs/>
          <w:sz w:val="22"/>
          <w:szCs w:val="22"/>
        </w:rPr>
        <w:t xml:space="preserve">A readable version of SEBI Bulletin is available at </w:t>
      </w:r>
      <w:hyperlink r:id="rId17" w:history="1">
        <w:r w:rsidRPr="009A0EB3">
          <w:rPr>
            <w:rFonts w:ascii="Palatino Linotype" w:hAnsi="Palatino Linotype"/>
            <w:bCs/>
            <w:sz w:val="22"/>
            <w:szCs w:val="22"/>
          </w:rPr>
          <w:t>http://www.sebi.gov.in</w:t>
        </w:r>
      </w:hyperlink>
      <w:r w:rsidRPr="009A0EB3">
        <w:rPr>
          <w:rFonts w:ascii="Palatino Linotype" w:hAnsi="Palatino Linotype"/>
          <w:bCs/>
          <w:sz w:val="22"/>
          <w:szCs w:val="22"/>
        </w:rPr>
        <w:t xml:space="preserve">. </w:t>
      </w:r>
      <w:r w:rsidR="00E71481">
        <w:rPr>
          <w:rFonts w:ascii="Palatino Linotype" w:hAnsi="Palatino Linotype"/>
          <w:bCs/>
          <w:sz w:val="22"/>
          <w:szCs w:val="22"/>
        </w:rPr>
        <w:t xml:space="preserve"> </w:t>
      </w:r>
      <w:r w:rsidR="00E71481" w:rsidRPr="00E71481">
        <w:rPr>
          <w:rFonts w:ascii="Palatino Linotype" w:hAnsi="Palatino Linotype"/>
          <w:bCs/>
          <w:sz w:val="22"/>
          <w:szCs w:val="22"/>
        </w:rPr>
        <w:t xml:space="preserve">Further,  soft copy of SEBI Bulletin is available free of cost to the subscribers/readers, who register at bulletin@sebi.gov.in along with their complete address. </w:t>
      </w:r>
      <w:r w:rsidRPr="009A0EB3">
        <w:rPr>
          <w:rFonts w:ascii="Palatino Linotype" w:hAnsi="Palatino Linotype"/>
          <w:bCs/>
          <w:sz w:val="22"/>
          <w:szCs w:val="22"/>
        </w:rPr>
        <w:t xml:space="preserve">Any comments and suggestions on any of the features/sections may be sent to </w:t>
      </w:r>
      <w:hyperlink r:id="rId18" w:history="1">
        <w:r w:rsidRPr="009A0EB3">
          <w:rPr>
            <w:rFonts w:ascii="Palatino Linotype" w:hAnsi="Palatino Linotype"/>
            <w:bCs/>
            <w:sz w:val="22"/>
            <w:szCs w:val="22"/>
          </w:rPr>
          <w:t>bulletin@sebi.gov.in</w:t>
        </w:r>
      </w:hyperlink>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Default="000254CD" w:rsidP="00B25DA6">
      <w:pPr>
        <w:jc w:val="center"/>
        <w:outlineLvl w:val="0"/>
        <w:rPr>
          <w:rFonts w:ascii="Palatino Linotype" w:hAnsi="Palatino Linotype" w:cs="Helvetica"/>
          <w:b/>
          <w:color w:val="000099"/>
          <w:sz w:val="22"/>
          <w:szCs w:val="22"/>
        </w:rPr>
      </w:pPr>
    </w:p>
    <w:p w:rsidR="000254CD" w:rsidRPr="009A0EB3" w:rsidRDefault="000254CD" w:rsidP="00B25DA6">
      <w:pPr>
        <w:jc w:val="center"/>
        <w:outlineLvl w:val="0"/>
        <w:rPr>
          <w:rFonts w:ascii="Palatino Linotype" w:hAnsi="Palatino Linotype" w:cs="Helvetica"/>
          <w:b/>
          <w:color w:val="000099"/>
          <w:sz w:val="22"/>
          <w:szCs w:val="22"/>
        </w:rPr>
      </w:pPr>
    </w:p>
    <w:p w:rsidR="002C3645" w:rsidRDefault="002C3645" w:rsidP="00B25DA6">
      <w:pPr>
        <w:jc w:val="center"/>
        <w:outlineLvl w:val="0"/>
        <w:rPr>
          <w:rFonts w:ascii="Palatino Linotype" w:hAnsi="Palatino Linotype" w:cs="Helvetica"/>
          <w:b/>
          <w:color w:val="000099"/>
          <w:sz w:val="22"/>
          <w:szCs w:val="22"/>
        </w:rPr>
      </w:pPr>
    </w:p>
    <w:p w:rsidR="00EB52C5" w:rsidRDefault="00EB52C5" w:rsidP="00B25DA6">
      <w:pPr>
        <w:jc w:val="center"/>
        <w:outlineLvl w:val="0"/>
        <w:rPr>
          <w:rFonts w:ascii="Palatino Linotype" w:hAnsi="Palatino Linotype" w:cs="Helvetica"/>
          <w:b/>
          <w:color w:val="000099"/>
          <w:sz w:val="22"/>
          <w:szCs w:val="22"/>
        </w:rPr>
      </w:pPr>
    </w:p>
    <w:p w:rsidR="00EB52C5" w:rsidRPr="009A0EB3" w:rsidRDefault="00EB52C5" w:rsidP="00B25DA6">
      <w:pPr>
        <w:jc w:val="center"/>
        <w:outlineLvl w:val="0"/>
        <w:rPr>
          <w:rFonts w:ascii="Palatino Linotype" w:hAnsi="Palatino Linotype" w:cs="Helvetica"/>
          <w:b/>
          <w:color w:val="000099"/>
          <w:sz w:val="22"/>
          <w:szCs w:val="22"/>
        </w:rPr>
      </w:pPr>
    </w:p>
    <w:p w:rsidR="002C3645" w:rsidRPr="009A0EB3" w:rsidRDefault="002C3645" w:rsidP="00B25DA6">
      <w:pPr>
        <w:jc w:val="center"/>
        <w:outlineLvl w:val="0"/>
        <w:rPr>
          <w:rFonts w:ascii="Palatino Linotype" w:hAnsi="Palatino Linotype" w:cs="Helvetica"/>
          <w:b/>
          <w:color w:val="000099"/>
          <w:sz w:val="22"/>
          <w:szCs w:val="22"/>
        </w:rPr>
      </w:pPr>
    </w:p>
    <w:p w:rsidR="002C3645" w:rsidRPr="009A0EB3" w:rsidRDefault="002C3645" w:rsidP="002C3645">
      <w:pPr>
        <w:spacing w:line="20" w:lineRule="atLeast"/>
        <w:jc w:val="center"/>
        <w:rPr>
          <w:rFonts w:ascii="Palatino Linotype" w:hAnsi="Palatino Linotype"/>
          <w:b/>
          <w:color w:val="632423"/>
          <w:sz w:val="22"/>
          <w:szCs w:val="22"/>
        </w:rPr>
      </w:pPr>
      <w:r w:rsidRPr="009A0EB3">
        <w:rPr>
          <w:rFonts w:ascii="Palatino Linotype" w:hAnsi="Palatino Linotype"/>
          <w:b/>
          <w:color w:val="632423"/>
          <w:sz w:val="22"/>
          <w:szCs w:val="22"/>
        </w:rPr>
        <w:t>CONTENTS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p>
    <w:p w:rsidR="002C1136" w:rsidRDefault="002C1136" w:rsidP="00A36146">
      <w:pPr>
        <w:spacing w:line="20" w:lineRule="atLeast"/>
        <w:jc w:val="both"/>
        <w:rPr>
          <w:rFonts w:ascii="Palatino Linotype" w:hAnsi="Palatino Linotype"/>
          <w:b/>
          <w:color w:val="0000FF"/>
          <w:sz w:val="22"/>
          <w:szCs w:val="22"/>
        </w:rPr>
      </w:pPr>
    </w:p>
    <w:p w:rsidR="002C3645" w:rsidRPr="009A0EB3" w:rsidRDefault="002C3645" w:rsidP="00F81232">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CAPITAL MARKET REVIEW</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REVIEW OF GLOBAL FINANCIAL MARKETS</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HIGHLIGHTS OF DEVELOPMENTS IN INTERNATIONAL SECURITIES MARKET</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POLICY DEVELOPMENTS </w:t>
      </w:r>
      <w:r w:rsidR="00E71481">
        <w:rPr>
          <w:rFonts w:ascii="Palatino Linotype" w:hAnsi="Palatino Linotype"/>
          <w:b/>
          <w:color w:val="0000FF"/>
          <w:sz w:val="22"/>
          <w:szCs w:val="22"/>
        </w:rPr>
        <w:t>AT SEBI</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REGULATORY ACTIONS TAKEN BY SEBI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 xml:space="preserve">TABLES </w:t>
      </w:r>
    </w:p>
    <w:p w:rsidR="002C3645" w:rsidRPr="009A0EB3" w:rsidRDefault="002C3645" w:rsidP="002C3645">
      <w:pPr>
        <w:spacing w:line="20" w:lineRule="atLeast"/>
        <w:jc w:val="both"/>
        <w:rPr>
          <w:rFonts w:ascii="Palatino Linotype" w:hAnsi="Palatino Linotype"/>
          <w:b/>
          <w:color w:val="0000FF"/>
          <w:sz w:val="22"/>
          <w:szCs w:val="22"/>
        </w:rPr>
      </w:pPr>
    </w:p>
    <w:p w:rsidR="002C3645" w:rsidRPr="009A0EB3" w:rsidRDefault="002C3645" w:rsidP="002C3645">
      <w:pPr>
        <w:spacing w:line="20" w:lineRule="atLeast"/>
        <w:jc w:val="both"/>
        <w:rPr>
          <w:rFonts w:ascii="Palatino Linotype" w:hAnsi="Palatino Linotype"/>
          <w:b/>
          <w:color w:val="0000FF"/>
          <w:sz w:val="22"/>
          <w:szCs w:val="22"/>
        </w:rPr>
      </w:pPr>
      <w:r w:rsidRPr="009A0EB3">
        <w:rPr>
          <w:rFonts w:ascii="Palatino Linotype" w:hAnsi="Palatino Linotype"/>
          <w:b/>
          <w:color w:val="0000FF"/>
          <w:sz w:val="22"/>
          <w:szCs w:val="22"/>
        </w:rPr>
        <w:t>PUBLICATIONS</w:t>
      </w:r>
    </w:p>
    <w:p w:rsidR="002C3645" w:rsidRDefault="002C3645"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9E322F" w:rsidRDefault="009E322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6A566F" w:rsidRDefault="006A566F" w:rsidP="00B25DA6">
      <w:pPr>
        <w:jc w:val="center"/>
        <w:outlineLvl w:val="0"/>
        <w:rPr>
          <w:rFonts w:ascii="Palatino Linotype" w:hAnsi="Palatino Linotype" w:cs="Helvetica"/>
          <w:b/>
          <w:color w:val="000099"/>
          <w:sz w:val="22"/>
          <w:szCs w:val="22"/>
        </w:rPr>
      </w:pPr>
    </w:p>
    <w:p w:rsidR="00B43812" w:rsidRDefault="00B43812" w:rsidP="00B43812">
      <w:pPr>
        <w:jc w:val="both"/>
        <w:outlineLvl w:val="0"/>
        <w:rPr>
          <w:rFonts w:ascii="Palatino Linotype" w:hAnsi="Palatino Linotype" w:cs="Helvetica"/>
          <w:b/>
          <w:color w:val="000099"/>
          <w:sz w:val="28"/>
          <w:szCs w:val="28"/>
        </w:rPr>
      </w:pPr>
    </w:p>
    <w:p w:rsidR="007547DA" w:rsidRPr="009A0EB3" w:rsidRDefault="007547DA" w:rsidP="007547DA">
      <w:pPr>
        <w:jc w:val="center"/>
        <w:outlineLvl w:val="0"/>
        <w:rPr>
          <w:rFonts w:ascii="Palatino Linotype" w:hAnsi="Palatino Linotype" w:cs="Helvetica"/>
          <w:b/>
          <w:color w:val="000099"/>
          <w:sz w:val="28"/>
          <w:szCs w:val="28"/>
        </w:rPr>
      </w:pPr>
      <w:r w:rsidRPr="009A0EB3">
        <w:rPr>
          <w:rFonts w:ascii="Palatino Linotype" w:hAnsi="Palatino Linotype" w:cs="Helvetica"/>
          <w:b/>
          <w:color w:val="000099"/>
          <w:sz w:val="28"/>
          <w:szCs w:val="28"/>
        </w:rPr>
        <w:t>CAPITAL MARKET REVIEW</w:t>
      </w:r>
    </w:p>
    <w:p w:rsidR="007547DA" w:rsidRPr="009A0EB3" w:rsidRDefault="007547DA" w:rsidP="007547DA">
      <w:pPr>
        <w:jc w:val="center"/>
        <w:outlineLvl w:val="0"/>
        <w:rPr>
          <w:rFonts w:ascii="Palatino Linotype" w:hAnsi="Palatino Linotype" w:cs="Helvetica"/>
          <w:b/>
          <w:color w:val="000099"/>
          <w:sz w:val="22"/>
          <w:szCs w:val="22"/>
        </w:rPr>
      </w:pPr>
    </w:p>
    <w:p w:rsidR="001755DE" w:rsidRPr="001D4399" w:rsidRDefault="001755DE" w:rsidP="001755DE">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 xml:space="preserve">Trends in Resource Mobilisation by Corporates  </w:t>
      </w:r>
    </w:p>
    <w:p w:rsidR="001755DE" w:rsidRPr="001D4399" w:rsidRDefault="001755DE" w:rsidP="001755DE">
      <w:pPr>
        <w:widowControl w:val="0"/>
        <w:spacing w:line="276" w:lineRule="auto"/>
        <w:jc w:val="both"/>
        <w:rPr>
          <w:rFonts w:ascii="Palatino Linotype" w:eastAsia="Palatino Linotype" w:hAnsi="Palatino Linotype" w:cs="Palatino Linotype"/>
          <w:b/>
          <w:color w:val="2E74B5"/>
          <w:sz w:val="22"/>
          <w:szCs w:val="22"/>
          <w:highlight w:val="yellow"/>
        </w:rPr>
      </w:pPr>
    </w:p>
    <w:p w:rsidR="001755DE" w:rsidRPr="001D4399" w:rsidRDefault="001755DE" w:rsidP="001755DE">
      <w:pPr>
        <w:widowControl w:val="0"/>
        <w:spacing w:line="276" w:lineRule="auto"/>
        <w:jc w:val="both"/>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Table 1: Fund Mobilisation by Corporates (</w:t>
      </w:r>
      <w:r w:rsidRPr="001D4399">
        <w:rPr>
          <w:rFonts w:ascii="Tahoma" w:eastAsia="Tahoma" w:hAnsi="Tahoma" w:cs="Tahoma"/>
          <w:b/>
          <w:sz w:val="22"/>
          <w:szCs w:val="22"/>
        </w:rPr>
        <w:t>₹</w:t>
      </w:r>
      <w:r w:rsidRPr="001D4399">
        <w:rPr>
          <w:rFonts w:ascii="Times New Roman" w:eastAsia="Tahoma" w:hAnsi="Times New Roman"/>
          <w:b/>
          <w:sz w:val="22"/>
          <w:szCs w:val="22"/>
        </w:rPr>
        <w:t xml:space="preserve"> </w:t>
      </w:r>
      <w:r w:rsidRPr="001D4399">
        <w:rPr>
          <w:rFonts w:ascii="Palatino Linotype" w:eastAsia="Palatino Linotype" w:hAnsi="Palatino Linotype" w:cs="Palatino Linotype"/>
          <w:b/>
          <w:sz w:val="22"/>
          <w:szCs w:val="22"/>
        </w:rPr>
        <w:t xml:space="preserve">crore) </w:t>
      </w:r>
    </w:p>
    <w:tbl>
      <w:tblPr>
        <w:tblW w:w="9828" w:type="dxa"/>
        <w:tblInd w:w="-5" w:type="dxa"/>
        <w:tblLook w:val="04A0" w:firstRow="1" w:lastRow="0" w:firstColumn="1" w:lastColumn="0" w:noHBand="0" w:noVBand="1"/>
      </w:tblPr>
      <w:tblGrid>
        <w:gridCol w:w="5436"/>
        <w:gridCol w:w="2288"/>
        <w:gridCol w:w="2104"/>
      </w:tblGrid>
      <w:tr w:rsidR="001755DE" w:rsidRPr="00797A8B" w:rsidTr="00A91C39">
        <w:trPr>
          <w:trHeight w:val="259"/>
        </w:trPr>
        <w:tc>
          <w:tcPr>
            <w:tcW w:w="5436" w:type="dxa"/>
            <w:tcBorders>
              <w:top w:val="single" w:sz="4" w:space="0" w:color="000000"/>
              <w:left w:val="single" w:sz="4" w:space="0" w:color="000000"/>
              <w:bottom w:val="single" w:sz="4" w:space="0" w:color="000000"/>
              <w:right w:val="single" w:sz="4" w:space="0" w:color="000000"/>
            </w:tcBorders>
            <w:shd w:val="clear" w:color="A9D08E" w:fill="A9D08E"/>
            <w:noWrap/>
            <w:vAlign w:val="center"/>
            <w:hideMark/>
          </w:tcPr>
          <w:p w:rsidR="001755DE" w:rsidRPr="00797A8B" w:rsidRDefault="001755DE" w:rsidP="00A91C39">
            <w:pPr>
              <w:rPr>
                <w:rFonts w:ascii="Garamond" w:hAnsi="Garamond"/>
                <w:b/>
                <w:bCs/>
                <w:color w:val="000000"/>
                <w:sz w:val="22"/>
                <w:szCs w:val="22"/>
              </w:rPr>
            </w:pPr>
            <w:r w:rsidRPr="00797A8B">
              <w:rPr>
                <w:rFonts w:ascii="Garamond" w:hAnsi="Garamond"/>
                <w:b/>
                <w:bCs/>
                <w:color w:val="000000"/>
                <w:sz w:val="22"/>
                <w:szCs w:val="22"/>
              </w:rPr>
              <w:t>Particulars</w:t>
            </w:r>
          </w:p>
        </w:tc>
        <w:tc>
          <w:tcPr>
            <w:tcW w:w="2288" w:type="dxa"/>
            <w:tcBorders>
              <w:top w:val="single" w:sz="4" w:space="0" w:color="000000"/>
              <w:left w:val="nil"/>
              <w:bottom w:val="single" w:sz="4" w:space="0" w:color="000000"/>
              <w:right w:val="single" w:sz="4" w:space="0" w:color="000000"/>
            </w:tcBorders>
            <w:shd w:val="clear" w:color="A9D08E" w:fill="A9D08E"/>
            <w:noWrap/>
            <w:vAlign w:val="center"/>
            <w:hideMark/>
          </w:tcPr>
          <w:p w:rsidR="001755DE" w:rsidRPr="00797A8B" w:rsidRDefault="001755DE" w:rsidP="00A91C39">
            <w:pPr>
              <w:jc w:val="right"/>
              <w:rPr>
                <w:rFonts w:ascii="Garamond" w:hAnsi="Garamond"/>
                <w:b/>
                <w:bCs/>
                <w:color w:val="000000"/>
                <w:sz w:val="22"/>
                <w:szCs w:val="22"/>
              </w:rPr>
            </w:pPr>
            <w:r w:rsidRPr="00797A8B">
              <w:rPr>
                <w:rFonts w:ascii="Garamond" w:hAnsi="Garamond"/>
                <w:b/>
                <w:bCs/>
                <w:color w:val="000000"/>
                <w:sz w:val="22"/>
                <w:szCs w:val="22"/>
              </w:rPr>
              <w:t>Feb-21</w:t>
            </w:r>
          </w:p>
        </w:tc>
        <w:tc>
          <w:tcPr>
            <w:tcW w:w="2104" w:type="dxa"/>
            <w:tcBorders>
              <w:top w:val="single" w:sz="4" w:space="0" w:color="000000"/>
              <w:left w:val="nil"/>
              <w:bottom w:val="single" w:sz="4" w:space="0" w:color="000000"/>
              <w:right w:val="single" w:sz="4" w:space="0" w:color="000000"/>
            </w:tcBorders>
            <w:shd w:val="clear" w:color="A9D08E" w:fill="A9D08E"/>
            <w:noWrap/>
            <w:vAlign w:val="center"/>
            <w:hideMark/>
          </w:tcPr>
          <w:p w:rsidR="001755DE" w:rsidRPr="00797A8B" w:rsidRDefault="001755DE" w:rsidP="00A91C39">
            <w:pPr>
              <w:jc w:val="right"/>
              <w:rPr>
                <w:rFonts w:ascii="Garamond" w:hAnsi="Garamond"/>
                <w:b/>
                <w:bCs/>
                <w:color w:val="000000"/>
                <w:sz w:val="22"/>
                <w:szCs w:val="22"/>
              </w:rPr>
            </w:pPr>
            <w:r w:rsidRPr="00797A8B">
              <w:rPr>
                <w:rFonts w:ascii="Garamond" w:hAnsi="Garamond"/>
                <w:b/>
                <w:bCs/>
                <w:color w:val="000000"/>
                <w:sz w:val="22"/>
                <w:szCs w:val="22"/>
              </w:rPr>
              <w:t>Mar-21</w:t>
            </w:r>
          </w:p>
        </w:tc>
      </w:tr>
      <w:tr w:rsidR="001755DE" w:rsidRPr="00797A8B" w:rsidTr="00A91C39">
        <w:trPr>
          <w:trHeight w:val="259"/>
        </w:trPr>
        <w:tc>
          <w:tcPr>
            <w:tcW w:w="5436" w:type="dxa"/>
            <w:tcBorders>
              <w:top w:val="nil"/>
              <w:left w:val="single" w:sz="4" w:space="0" w:color="000000"/>
              <w:bottom w:val="single" w:sz="4" w:space="0" w:color="000000"/>
              <w:right w:val="nil"/>
            </w:tcBorders>
            <w:shd w:val="clear" w:color="auto" w:fill="auto"/>
            <w:vAlign w:val="center"/>
            <w:hideMark/>
          </w:tcPr>
          <w:p w:rsidR="001755DE" w:rsidRPr="00797A8B" w:rsidRDefault="001755DE" w:rsidP="00A91C39">
            <w:pPr>
              <w:rPr>
                <w:rFonts w:ascii="Garamond" w:hAnsi="Garamond"/>
                <w:b/>
                <w:bCs/>
                <w:i/>
                <w:iCs/>
                <w:color w:val="000000"/>
                <w:sz w:val="22"/>
                <w:szCs w:val="22"/>
              </w:rPr>
            </w:pPr>
            <w:r w:rsidRPr="00797A8B">
              <w:rPr>
                <w:rFonts w:ascii="Garamond" w:hAnsi="Garamond"/>
                <w:b/>
                <w:bCs/>
                <w:i/>
                <w:iCs/>
                <w:color w:val="000000"/>
                <w:sz w:val="22"/>
                <w:szCs w:val="22"/>
              </w:rPr>
              <w:t>I. Equity Issue</w:t>
            </w:r>
          </w:p>
        </w:tc>
        <w:tc>
          <w:tcPr>
            <w:tcW w:w="2288"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b/>
                <w:bCs/>
                <w:color w:val="000000"/>
                <w:sz w:val="22"/>
                <w:szCs w:val="22"/>
              </w:rPr>
            </w:pPr>
            <w:r w:rsidRPr="00797A8B">
              <w:rPr>
                <w:rFonts w:ascii="Garamond" w:hAnsi="Garamond"/>
                <w:b/>
                <w:bCs/>
                <w:color w:val="000000"/>
                <w:sz w:val="22"/>
                <w:szCs w:val="22"/>
              </w:rPr>
              <w:t>14,517</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b/>
                <w:bCs/>
                <w:color w:val="000000"/>
                <w:sz w:val="22"/>
                <w:szCs w:val="22"/>
              </w:rPr>
            </w:pPr>
            <w:r w:rsidRPr="00797A8B">
              <w:rPr>
                <w:rFonts w:ascii="Garamond" w:hAnsi="Garamond"/>
                <w:b/>
                <w:bCs/>
                <w:color w:val="000000"/>
                <w:sz w:val="22"/>
                <w:szCs w:val="22"/>
              </w:rPr>
              <w:t>20,127</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color w:val="000000"/>
                <w:sz w:val="22"/>
                <w:szCs w:val="22"/>
              </w:rPr>
            </w:pPr>
            <w:r w:rsidRPr="00797A8B">
              <w:rPr>
                <w:rFonts w:ascii="Garamond" w:hAnsi="Garamond"/>
                <w:color w:val="000000"/>
                <w:sz w:val="22"/>
                <w:szCs w:val="22"/>
              </w:rPr>
              <w:t>a. IPOs (i+ii)</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3,658</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6,352</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i/>
                <w:iCs/>
                <w:color w:val="000000"/>
                <w:sz w:val="22"/>
                <w:szCs w:val="22"/>
              </w:rPr>
            </w:pPr>
            <w:r w:rsidRPr="00797A8B">
              <w:rPr>
                <w:rFonts w:ascii="Garamond" w:hAnsi="Garamond"/>
                <w:i/>
                <w:iCs/>
                <w:color w:val="000000"/>
                <w:sz w:val="22"/>
                <w:szCs w:val="22"/>
              </w:rPr>
              <w:t xml:space="preserve">    i. Main Board</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3,655</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6,255</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i/>
                <w:iCs/>
                <w:color w:val="000000"/>
                <w:sz w:val="22"/>
                <w:szCs w:val="22"/>
              </w:rPr>
            </w:pPr>
            <w:r w:rsidRPr="00797A8B">
              <w:rPr>
                <w:rFonts w:ascii="Garamond" w:hAnsi="Garamond"/>
                <w:i/>
                <w:iCs/>
                <w:color w:val="000000"/>
                <w:sz w:val="22"/>
                <w:szCs w:val="22"/>
              </w:rPr>
              <w:t xml:space="preserve">    ii. SME Platform</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3</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97</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color w:val="000000"/>
                <w:sz w:val="22"/>
                <w:szCs w:val="22"/>
              </w:rPr>
            </w:pPr>
            <w:r w:rsidRPr="00797A8B">
              <w:rPr>
                <w:rFonts w:ascii="Garamond" w:hAnsi="Garamond"/>
                <w:color w:val="000000"/>
                <w:sz w:val="22"/>
                <w:szCs w:val="22"/>
              </w:rPr>
              <w:t>b. FPOs</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0</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30</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color w:val="000000"/>
                <w:sz w:val="22"/>
                <w:szCs w:val="22"/>
              </w:rPr>
            </w:pPr>
            <w:r w:rsidRPr="00797A8B">
              <w:rPr>
                <w:rFonts w:ascii="Garamond" w:hAnsi="Garamond"/>
                <w:color w:val="000000"/>
                <w:sz w:val="22"/>
                <w:szCs w:val="22"/>
              </w:rPr>
              <w:t>c. Equity Right Issue</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2,999</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72</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color w:val="000000"/>
                <w:sz w:val="22"/>
                <w:szCs w:val="22"/>
              </w:rPr>
            </w:pPr>
            <w:r w:rsidRPr="00797A8B">
              <w:rPr>
                <w:rFonts w:ascii="Garamond" w:hAnsi="Garamond"/>
                <w:color w:val="000000"/>
                <w:sz w:val="22"/>
                <w:szCs w:val="22"/>
              </w:rPr>
              <w:t>d. QIP/IPP</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2,645</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10,775</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color w:val="000000"/>
                <w:sz w:val="22"/>
                <w:szCs w:val="22"/>
              </w:rPr>
            </w:pPr>
            <w:r w:rsidRPr="00797A8B">
              <w:rPr>
                <w:rFonts w:ascii="Garamond" w:hAnsi="Garamond"/>
                <w:color w:val="000000"/>
                <w:sz w:val="22"/>
                <w:szCs w:val="22"/>
              </w:rPr>
              <w:t>e. Preferential Allotment</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5,216</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2,898</w:t>
            </w:r>
          </w:p>
        </w:tc>
      </w:tr>
      <w:tr w:rsidR="001755DE" w:rsidRPr="00797A8B" w:rsidTr="00A91C39">
        <w:trPr>
          <w:trHeight w:val="259"/>
        </w:trPr>
        <w:tc>
          <w:tcPr>
            <w:tcW w:w="5436" w:type="dxa"/>
            <w:tcBorders>
              <w:top w:val="nil"/>
              <w:left w:val="single" w:sz="4" w:space="0" w:color="000000"/>
              <w:bottom w:val="single" w:sz="4" w:space="0" w:color="000000"/>
              <w:right w:val="nil"/>
            </w:tcBorders>
            <w:shd w:val="clear" w:color="auto" w:fill="auto"/>
            <w:vAlign w:val="center"/>
            <w:hideMark/>
          </w:tcPr>
          <w:p w:rsidR="001755DE" w:rsidRPr="00797A8B" w:rsidRDefault="001755DE" w:rsidP="00A91C39">
            <w:pPr>
              <w:rPr>
                <w:rFonts w:ascii="Garamond" w:hAnsi="Garamond"/>
                <w:b/>
                <w:bCs/>
                <w:i/>
                <w:iCs/>
                <w:color w:val="000000"/>
                <w:sz w:val="22"/>
                <w:szCs w:val="22"/>
              </w:rPr>
            </w:pPr>
            <w:r w:rsidRPr="00797A8B">
              <w:rPr>
                <w:rFonts w:ascii="Garamond" w:hAnsi="Garamond"/>
                <w:b/>
                <w:bCs/>
                <w:i/>
                <w:iCs/>
                <w:color w:val="000000"/>
                <w:sz w:val="22"/>
                <w:szCs w:val="22"/>
              </w:rPr>
              <w:t xml:space="preserve">II. Debt Issue </w:t>
            </w:r>
          </w:p>
        </w:tc>
        <w:tc>
          <w:tcPr>
            <w:tcW w:w="2288"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b/>
                <w:bCs/>
                <w:color w:val="000000"/>
                <w:sz w:val="22"/>
                <w:szCs w:val="22"/>
              </w:rPr>
            </w:pPr>
            <w:r w:rsidRPr="00797A8B">
              <w:rPr>
                <w:rFonts w:ascii="Garamond" w:hAnsi="Garamond"/>
                <w:b/>
                <w:bCs/>
                <w:color w:val="000000"/>
                <w:sz w:val="22"/>
                <w:szCs w:val="22"/>
              </w:rPr>
              <w:t>45,902</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b/>
                <w:bCs/>
                <w:color w:val="000000"/>
                <w:sz w:val="22"/>
                <w:szCs w:val="22"/>
              </w:rPr>
            </w:pPr>
            <w:r w:rsidRPr="00797A8B">
              <w:rPr>
                <w:rFonts w:ascii="Garamond" w:hAnsi="Garamond"/>
                <w:b/>
                <w:bCs/>
                <w:color w:val="000000"/>
                <w:sz w:val="22"/>
                <w:szCs w:val="22"/>
              </w:rPr>
              <w:t>95,230</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color w:val="000000"/>
                <w:sz w:val="22"/>
                <w:szCs w:val="22"/>
              </w:rPr>
            </w:pPr>
            <w:r w:rsidRPr="00797A8B">
              <w:rPr>
                <w:rFonts w:ascii="Garamond" w:hAnsi="Garamond"/>
                <w:color w:val="000000"/>
                <w:sz w:val="22"/>
                <w:szCs w:val="22"/>
              </w:rPr>
              <w:t>a. Debt Public Issue</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216</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900</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color w:val="000000"/>
                <w:sz w:val="22"/>
                <w:szCs w:val="22"/>
              </w:rPr>
            </w:pPr>
            <w:r w:rsidRPr="00797A8B">
              <w:rPr>
                <w:rFonts w:ascii="Garamond" w:hAnsi="Garamond"/>
                <w:color w:val="000000"/>
                <w:sz w:val="22"/>
                <w:szCs w:val="22"/>
              </w:rPr>
              <w:t>b. Private Placement of Debt</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 xml:space="preserve">      45,685 </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color w:val="000000"/>
                <w:sz w:val="22"/>
                <w:szCs w:val="22"/>
              </w:rPr>
            </w:pPr>
            <w:r w:rsidRPr="00797A8B">
              <w:rPr>
                <w:rFonts w:ascii="Garamond" w:hAnsi="Garamond"/>
                <w:color w:val="000000"/>
                <w:sz w:val="22"/>
                <w:szCs w:val="22"/>
              </w:rPr>
              <w:t xml:space="preserve">      94,330 </w:t>
            </w:r>
          </w:p>
        </w:tc>
      </w:tr>
      <w:tr w:rsidR="001755DE" w:rsidRPr="00797A8B" w:rsidTr="00A91C39">
        <w:trPr>
          <w:trHeight w:val="259"/>
        </w:trPr>
        <w:tc>
          <w:tcPr>
            <w:tcW w:w="5436" w:type="dxa"/>
            <w:tcBorders>
              <w:top w:val="nil"/>
              <w:left w:val="single" w:sz="4" w:space="0" w:color="000000"/>
              <w:bottom w:val="single" w:sz="4" w:space="0" w:color="000000"/>
              <w:right w:val="single" w:sz="4" w:space="0" w:color="000000"/>
            </w:tcBorders>
            <w:shd w:val="clear" w:color="auto" w:fill="auto"/>
            <w:noWrap/>
            <w:vAlign w:val="center"/>
            <w:hideMark/>
          </w:tcPr>
          <w:p w:rsidR="001755DE" w:rsidRPr="00797A8B" w:rsidRDefault="001755DE" w:rsidP="00A91C39">
            <w:pPr>
              <w:rPr>
                <w:rFonts w:ascii="Garamond" w:hAnsi="Garamond"/>
                <w:b/>
                <w:bCs/>
                <w:color w:val="000000"/>
                <w:sz w:val="22"/>
                <w:szCs w:val="22"/>
              </w:rPr>
            </w:pPr>
            <w:r w:rsidRPr="00797A8B">
              <w:rPr>
                <w:rFonts w:ascii="Garamond" w:hAnsi="Garamond"/>
                <w:b/>
                <w:bCs/>
                <w:color w:val="000000"/>
                <w:sz w:val="22"/>
                <w:szCs w:val="22"/>
              </w:rPr>
              <w:t>Total Funds Mobilised (I+II)</w:t>
            </w:r>
          </w:p>
        </w:tc>
        <w:tc>
          <w:tcPr>
            <w:tcW w:w="2288"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b/>
                <w:bCs/>
                <w:color w:val="000000"/>
                <w:sz w:val="22"/>
                <w:szCs w:val="22"/>
              </w:rPr>
            </w:pPr>
            <w:r w:rsidRPr="00797A8B">
              <w:rPr>
                <w:rFonts w:ascii="Garamond" w:hAnsi="Garamond"/>
                <w:b/>
                <w:bCs/>
                <w:color w:val="000000"/>
                <w:sz w:val="22"/>
                <w:szCs w:val="22"/>
              </w:rPr>
              <w:t>60,419</w:t>
            </w:r>
          </w:p>
        </w:tc>
        <w:tc>
          <w:tcPr>
            <w:tcW w:w="2104" w:type="dxa"/>
            <w:tcBorders>
              <w:top w:val="nil"/>
              <w:left w:val="nil"/>
              <w:bottom w:val="single" w:sz="4" w:space="0" w:color="000000"/>
              <w:right w:val="single" w:sz="4" w:space="0" w:color="000000"/>
            </w:tcBorders>
            <w:shd w:val="clear" w:color="auto" w:fill="auto"/>
            <w:noWrap/>
            <w:vAlign w:val="center"/>
            <w:hideMark/>
          </w:tcPr>
          <w:p w:rsidR="001755DE" w:rsidRPr="00797A8B" w:rsidRDefault="001755DE" w:rsidP="00A91C39">
            <w:pPr>
              <w:jc w:val="right"/>
              <w:rPr>
                <w:rFonts w:ascii="Garamond" w:hAnsi="Garamond"/>
                <w:b/>
                <w:bCs/>
                <w:color w:val="000000"/>
                <w:sz w:val="22"/>
                <w:szCs w:val="22"/>
              </w:rPr>
            </w:pPr>
            <w:r w:rsidRPr="00797A8B">
              <w:rPr>
                <w:rFonts w:ascii="Garamond" w:hAnsi="Garamond"/>
                <w:b/>
                <w:bCs/>
                <w:color w:val="000000"/>
                <w:sz w:val="22"/>
                <w:szCs w:val="22"/>
              </w:rPr>
              <w:t>1,15,356</w:t>
            </w:r>
          </w:p>
        </w:tc>
      </w:tr>
    </w:tbl>
    <w:p w:rsidR="001755DE" w:rsidRPr="001D4399" w:rsidRDefault="001755DE" w:rsidP="001755DE">
      <w:pPr>
        <w:widowControl w:val="0"/>
        <w:tabs>
          <w:tab w:val="right" w:pos="9888"/>
        </w:tabs>
        <w:spacing w:line="276" w:lineRule="auto"/>
        <w:jc w:val="both"/>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SEBI, NSE, BSE and MSEI</w:t>
      </w:r>
    </w:p>
    <w:p w:rsidR="001755DE" w:rsidRPr="001D4399" w:rsidRDefault="001755DE" w:rsidP="001755DE">
      <w:pPr>
        <w:widowControl w:val="0"/>
        <w:tabs>
          <w:tab w:val="right" w:pos="9888"/>
        </w:tabs>
        <w:spacing w:line="276" w:lineRule="auto"/>
        <w:jc w:val="both"/>
        <w:rPr>
          <w:rFonts w:ascii="Palatino Linotype" w:eastAsia="Palatino Linotype" w:hAnsi="Palatino Linotype" w:cs="Palatino Linotype"/>
          <w:b/>
          <w:sz w:val="22"/>
          <w:szCs w:val="22"/>
          <w:highlight w:val="yellow"/>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During March 2021, there were nine main board IPO issues and six SME IPO mobilising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6,352 crore and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97 crore respectively </w:t>
      </w:r>
      <w:r>
        <w:rPr>
          <w:rFonts w:ascii="Palatino Linotype" w:eastAsia="Palatino Linotype" w:hAnsi="Palatino Linotype" w:cs="Palatino Linotype"/>
          <w:sz w:val="22"/>
          <w:szCs w:val="22"/>
        </w:rPr>
        <w:t xml:space="preserve">as </w:t>
      </w:r>
      <w:r w:rsidRPr="001D4399">
        <w:rPr>
          <w:rFonts w:ascii="Palatino Linotype" w:eastAsia="Palatino Linotype" w:hAnsi="Palatino Linotype" w:cs="Palatino Linotype"/>
          <w:sz w:val="22"/>
          <w:szCs w:val="22"/>
        </w:rPr>
        <w:t xml:space="preserve">compared to five main board IPO issues and one SME IPO mobilising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3,652 crore and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w:t>
      </w:r>
      <w:r>
        <w:rPr>
          <w:rFonts w:ascii="Palatino Linotype" w:eastAsia="Palatino Linotype" w:hAnsi="Palatino Linotype" w:cs="Palatino Linotype"/>
          <w:sz w:val="22"/>
          <w:szCs w:val="22"/>
        </w:rPr>
        <w:t>three</w:t>
      </w:r>
      <w:r w:rsidRPr="001D4399">
        <w:rPr>
          <w:rFonts w:ascii="Palatino Linotype" w:eastAsia="Palatino Linotype" w:hAnsi="Palatino Linotype" w:cs="Palatino Linotype"/>
          <w:sz w:val="22"/>
          <w:szCs w:val="22"/>
        </w:rPr>
        <w:t xml:space="preserve"> crore respectively </w:t>
      </w:r>
      <w:r>
        <w:rPr>
          <w:rFonts w:ascii="Palatino Linotype" w:eastAsia="Palatino Linotype" w:hAnsi="Palatino Linotype" w:cs="Palatino Linotype"/>
          <w:sz w:val="22"/>
          <w:szCs w:val="22"/>
        </w:rPr>
        <w:t xml:space="preserve">in </w:t>
      </w:r>
      <w:r w:rsidRPr="001D4399">
        <w:rPr>
          <w:rFonts w:ascii="Palatino Linotype" w:eastAsia="Palatino Linotype" w:hAnsi="Palatino Linotype" w:cs="Palatino Linotype"/>
          <w:sz w:val="22"/>
          <w:szCs w:val="22"/>
        </w:rPr>
        <w:t xml:space="preserve">February 2021.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During March 2021, there was </w:t>
      </w:r>
      <w:r>
        <w:rPr>
          <w:rFonts w:ascii="Palatino Linotype" w:eastAsia="Palatino Linotype" w:hAnsi="Palatino Linotype" w:cs="Palatino Linotype"/>
          <w:sz w:val="22"/>
          <w:szCs w:val="22"/>
        </w:rPr>
        <w:t xml:space="preserve">only </w:t>
      </w:r>
      <w:r w:rsidRPr="001D4399">
        <w:rPr>
          <w:rFonts w:ascii="Palatino Linotype" w:eastAsia="Palatino Linotype" w:hAnsi="Palatino Linotype" w:cs="Palatino Linotype"/>
          <w:sz w:val="22"/>
          <w:szCs w:val="22"/>
        </w:rPr>
        <w:t xml:space="preserve">one FPO issue mobilizing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30 crore.</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Th</w:t>
      </w:r>
      <w:r w:rsidRPr="001D4399">
        <w:rPr>
          <w:rFonts w:ascii="Palatino Linotype" w:eastAsia="Palatino Linotype" w:hAnsi="Palatino Linotype" w:cs="Palatino Linotype"/>
          <w:sz w:val="22"/>
          <w:szCs w:val="22"/>
        </w:rPr>
        <w:t xml:space="preserve">ere </w:t>
      </w:r>
      <w:r>
        <w:rPr>
          <w:rFonts w:ascii="Palatino Linotype" w:eastAsia="Palatino Linotype" w:hAnsi="Palatino Linotype" w:cs="Palatino Linotype"/>
          <w:sz w:val="22"/>
          <w:szCs w:val="22"/>
        </w:rPr>
        <w:t xml:space="preserve">were </w:t>
      </w:r>
      <w:r w:rsidRPr="001D4399">
        <w:rPr>
          <w:rFonts w:ascii="Palatino Linotype" w:eastAsia="Palatino Linotype" w:hAnsi="Palatino Linotype" w:cs="Palatino Linotype"/>
          <w:sz w:val="22"/>
          <w:szCs w:val="22"/>
        </w:rPr>
        <w:t xml:space="preserve">three rights issues </w:t>
      </w:r>
      <w:r>
        <w:rPr>
          <w:rFonts w:ascii="Palatino Linotype" w:eastAsia="Palatino Linotype" w:hAnsi="Palatino Linotype" w:cs="Palatino Linotype"/>
          <w:sz w:val="22"/>
          <w:szCs w:val="22"/>
        </w:rPr>
        <w:t xml:space="preserve">in the month of March 2021 </w:t>
      </w:r>
      <w:r w:rsidRPr="001D4399">
        <w:rPr>
          <w:rFonts w:ascii="Palatino Linotype" w:eastAsia="Palatino Linotype" w:hAnsi="Palatino Linotype" w:cs="Palatino Linotype"/>
          <w:sz w:val="22"/>
          <w:szCs w:val="22"/>
        </w:rPr>
        <w:t xml:space="preserve">mobilizing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72 crore </w:t>
      </w:r>
      <w:r>
        <w:rPr>
          <w:rFonts w:ascii="Palatino Linotype" w:eastAsia="Palatino Linotype" w:hAnsi="Palatino Linotype" w:cs="Palatino Linotype"/>
          <w:sz w:val="22"/>
          <w:szCs w:val="22"/>
        </w:rPr>
        <w:t xml:space="preserve">as </w:t>
      </w:r>
      <w:r w:rsidRPr="001D4399">
        <w:rPr>
          <w:rFonts w:ascii="Palatino Linotype" w:eastAsia="Palatino Linotype" w:hAnsi="Palatino Linotype" w:cs="Palatino Linotype"/>
          <w:sz w:val="22"/>
          <w:szCs w:val="22"/>
        </w:rPr>
        <w:t xml:space="preserve">compared to one rights issue mobilizing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2,999 crore in February 2021.</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March 2021</w:t>
      </w:r>
      <w:r>
        <w:rPr>
          <w:rFonts w:ascii="Palatino Linotype" w:eastAsia="Palatino Linotype" w:hAnsi="Palatino Linotype" w:cs="Palatino Linotype"/>
          <w:sz w:val="22"/>
          <w:szCs w:val="22"/>
        </w:rPr>
        <w:t xml:space="preserve"> also witnessed </w:t>
      </w:r>
      <w:r w:rsidRPr="001D4399">
        <w:rPr>
          <w:rFonts w:ascii="Palatino Linotype" w:eastAsia="Palatino Linotype" w:hAnsi="Palatino Linotype" w:cs="Palatino Linotype"/>
          <w:sz w:val="22"/>
          <w:szCs w:val="22"/>
        </w:rPr>
        <w:t xml:space="preserve"> two public issues of corporate bonds, amounting to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900 crore </w:t>
      </w:r>
      <w:r>
        <w:rPr>
          <w:rFonts w:ascii="Palatino Linotype" w:eastAsia="Palatino Linotype" w:hAnsi="Palatino Linotype" w:cs="Palatino Linotype"/>
          <w:sz w:val="22"/>
          <w:szCs w:val="22"/>
        </w:rPr>
        <w:t xml:space="preserve">as </w:t>
      </w:r>
      <w:r w:rsidRPr="001D4399">
        <w:rPr>
          <w:rFonts w:ascii="Palatino Linotype" w:eastAsia="Palatino Linotype" w:hAnsi="Palatino Linotype" w:cs="Palatino Linotype"/>
          <w:sz w:val="22"/>
          <w:szCs w:val="22"/>
        </w:rPr>
        <w:t xml:space="preserve">compared to one public issue, amounting to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216 crore during February 2021.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An amount of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13,673 crore was raised through private placement of equity (i.e. preferential allotment and QIP) during </w:t>
      </w:r>
      <w:r>
        <w:rPr>
          <w:rFonts w:ascii="Palatino Linotype" w:eastAsia="Palatino Linotype" w:hAnsi="Palatino Linotype" w:cs="Palatino Linotype"/>
          <w:sz w:val="22"/>
          <w:szCs w:val="22"/>
        </w:rPr>
        <w:t>March</w:t>
      </w:r>
      <w:r w:rsidRPr="001D4399">
        <w:rPr>
          <w:rFonts w:ascii="Palatino Linotype" w:eastAsia="Palatino Linotype" w:hAnsi="Palatino Linotype" w:cs="Palatino Linotype"/>
          <w:sz w:val="22"/>
          <w:szCs w:val="22"/>
        </w:rPr>
        <w:t xml:space="preserve"> 2021 against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7,861 crore during February 2021.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Private placement of corporate debt reported on exchanges stood at </w:t>
      </w:r>
      <w:r w:rsidRPr="001D4399">
        <w:rPr>
          <w:rFonts w:ascii="Tahoma" w:eastAsia="Palatino Linotype" w:hAnsi="Tahoma" w:cs="Tahoma"/>
          <w:sz w:val="22"/>
          <w:szCs w:val="22"/>
        </w:rPr>
        <w:t>₹</w:t>
      </w:r>
      <w:r w:rsidRPr="001D4399">
        <w:rPr>
          <w:rFonts w:ascii="Palatino Linotype" w:hAnsi="Palatino Linotype"/>
          <w:color w:val="000000"/>
          <w:sz w:val="22"/>
          <w:szCs w:val="22"/>
        </w:rPr>
        <w:t xml:space="preserve">  94,330 </w:t>
      </w:r>
      <w:r w:rsidRPr="001D4399">
        <w:rPr>
          <w:rFonts w:ascii="Palatino Linotype" w:eastAsia="Palatino Linotype" w:hAnsi="Palatino Linotype" w:cs="Palatino Linotype"/>
          <w:sz w:val="22"/>
          <w:szCs w:val="22"/>
        </w:rPr>
        <w:t xml:space="preserve">crore during March 2021, compared to </w:t>
      </w:r>
      <w:r w:rsidRPr="001D4399">
        <w:rPr>
          <w:rFonts w:ascii="Tahoma" w:eastAsia="Palatino Linotype" w:hAnsi="Tahoma" w:cs="Tahoma"/>
          <w:sz w:val="22"/>
          <w:szCs w:val="22"/>
        </w:rPr>
        <w:t>₹</w:t>
      </w:r>
      <w:r w:rsidRPr="001D4399">
        <w:rPr>
          <w:rFonts w:ascii="Palatino Linotype" w:hAnsi="Palatino Linotype"/>
          <w:color w:val="000000"/>
          <w:sz w:val="22"/>
          <w:szCs w:val="22"/>
        </w:rPr>
        <w:t xml:space="preserve"> 45,685 </w:t>
      </w:r>
      <w:r w:rsidRPr="001D4399">
        <w:rPr>
          <w:rFonts w:ascii="Palatino Linotype" w:eastAsia="Palatino Linotype" w:hAnsi="Palatino Linotype" w:cs="Palatino Linotype"/>
          <w:sz w:val="22"/>
          <w:szCs w:val="22"/>
        </w:rPr>
        <w:t xml:space="preserve">crore during February 2021.  </w:t>
      </w:r>
    </w:p>
    <w:p w:rsidR="001755DE" w:rsidRPr="001D4399" w:rsidRDefault="001755DE" w:rsidP="001755DE">
      <w:pPr>
        <w:pBdr>
          <w:top w:val="nil"/>
          <w:left w:val="nil"/>
          <w:bottom w:val="nil"/>
          <w:right w:val="nil"/>
          <w:between w:val="nil"/>
        </w:pBdr>
        <w:spacing w:line="276" w:lineRule="auto"/>
        <w:ind w:left="360"/>
        <w:jc w:val="both"/>
        <w:rPr>
          <w:rFonts w:ascii="Palatino Linotype" w:eastAsia="Palatino Linotype" w:hAnsi="Palatino Linotype" w:cs="Palatino Linotype"/>
          <w:sz w:val="22"/>
          <w:szCs w:val="22"/>
          <w:highlight w:val="yellow"/>
        </w:rPr>
      </w:pPr>
    </w:p>
    <w:p w:rsidR="001755DE" w:rsidRPr="001D4399" w:rsidRDefault="001755DE" w:rsidP="001755DE">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Trends in the Secondary Market</w:t>
      </w:r>
    </w:p>
    <w:p w:rsidR="001755DE" w:rsidRPr="001D4399" w:rsidRDefault="001755DE" w:rsidP="001755DE">
      <w:pPr>
        <w:widowControl w:val="0"/>
        <w:tabs>
          <w:tab w:val="left" w:pos="3915"/>
        </w:tabs>
        <w:spacing w:line="276" w:lineRule="auto"/>
        <w:jc w:val="both"/>
        <w:rPr>
          <w:rFonts w:ascii="Palatino Linotype" w:eastAsia="Palatino Linotype" w:hAnsi="Palatino Linotype" w:cs="Palatino Linotype"/>
          <w:b/>
          <w:sz w:val="22"/>
          <w:szCs w:val="22"/>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At the end of March 2021, Nifty 50 closed at 14,691 as compared to the closing value of 14,529 at the end of February 2021</w:t>
      </w:r>
      <w:r>
        <w:rPr>
          <w:rFonts w:ascii="Palatino Linotype" w:eastAsia="Palatino Linotype" w:hAnsi="Palatino Linotype" w:cs="Palatino Linotype"/>
          <w:sz w:val="22"/>
          <w:szCs w:val="22"/>
        </w:rPr>
        <w:t xml:space="preserve"> </w:t>
      </w:r>
      <w:r w:rsidRPr="001D4399">
        <w:rPr>
          <w:rFonts w:ascii="Palatino Linotype" w:eastAsia="Palatino Linotype" w:hAnsi="Palatino Linotype" w:cs="Palatino Linotype"/>
          <w:sz w:val="22"/>
          <w:szCs w:val="22"/>
        </w:rPr>
        <w:t>registering an increase of 1.1 per cent.</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S&amp;P BSE Sensex closed at 49,509 at the end of March 2021, as compared to the 49,100 at the end of February 2021</w:t>
      </w:r>
      <w:r>
        <w:rPr>
          <w:rFonts w:ascii="Palatino Linotype" w:eastAsia="Palatino Linotype" w:hAnsi="Palatino Linotype" w:cs="Palatino Linotype"/>
          <w:sz w:val="22"/>
          <w:szCs w:val="22"/>
        </w:rPr>
        <w:t xml:space="preserve"> </w:t>
      </w:r>
      <w:r w:rsidRPr="001D4399">
        <w:rPr>
          <w:rFonts w:ascii="Palatino Linotype" w:eastAsia="Palatino Linotype" w:hAnsi="Palatino Linotype" w:cs="Palatino Linotype"/>
          <w:sz w:val="22"/>
          <w:szCs w:val="22"/>
        </w:rPr>
        <w:t>indicating an increase of 0.8 per cent.</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Nifty 50 </w:t>
      </w:r>
      <w:r>
        <w:rPr>
          <w:rFonts w:ascii="Palatino Linotype" w:eastAsia="Palatino Linotype" w:hAnsi="Palatino Linotype" w:cs="Palatino Linotype"/>
          <w:sz w:val="22"/>
          <w:szCs w:val="22"/>
        </w:rPr>
        <w:t xml:space="preserve">and </w:t>
      </w:r>
      <w:r w:rsidRPr="001D4399">
        <w:rPr>
          <w:rFonts w:ascii="Palatino Linotype" w:eastAsia="Palatino Linotype" w:hAnsi="Palatino Linotype" w:cs="Palatino Linotype"/>
          <w:sz w:val="22"/>
          <w:szCs w:val="22"/>
        </w:rPr>
        <w:t xml:space="preserve">S&amp;P BSE Sensex reached </w:t>
      </w:r>
      <w:r>
        <w:rPr>
          <w:rFonts w:ascii="Palatino Linotype" w:eastAsia="Palatino Linotype" w:hAnsi="Palatino Linotype" w:cs="Palatino Linotype"/>
          <w:sz w:val="22"/>
          <w:szCs w:val="22"/>
        </w:rPr>
        <w:t>their</w:t>
      </w:r>
      <w:r w:rsidRPr="001D4399">
        <w:rPr>
          <w:rFonts w:ascii="Palatino Linotype" w:eastAsia="Palatino Linotype" w:hAnsi="Palatino Linotype" w:cs="Palatino Linotype"/>
          <w:sz w:val="22"/>
          <w:szCs w:val="22"/>
        </w:rPr>
        <w:t xml:space="preserve"> intraday high for the month at 15,336 </w:t>
      </w:r>
      <w:r>
        <w:rPr>
          <w:rFonts w:ascii="Palatino Linotype" w:eastAsia="Palatino Linotype" w:hAnsi="Palatino Linotype" w:cs="Palatino Linotype"/>
          <w:sz w:val="22"/>
          <w:szCs w:val="22"/>
        </w:rPr>
        <w:t xml:space="preserve">and </w:t>
      </w:r>
      <w:r w:rsidRPr="001D4399">
        <w:rPr>
          <w:rFonts w:ascii="Palatino Linotype" w:eastAsia="Palatino Linotype" w:hAnsi="Palatino Linotype" w:cs="Palatino Linotype"/>
          <w:sz w:val="22"/>
          <w:szCs w:val="22"/>
        </w:rPr>
        <w:t xml:space="preserve">51,822 </w:t>
      </w:r>
      <w:r>
        <w:rPr>
          <w:rFonts w:ascii="Palatino Linotype" w:eastAsia="Palatino Linotype" w:hAnsi="Palatino Linotype" w:cs="Palatino Linotype"/>
          <w:sz w:val="22"/>
          <w:szCs w:val="22"/>
        </w:rPr>
        <w:t xml:space="preserve">respectively </w:t>
      </w:r>
      <w:r w:rsidRPr="001D4399">
        <w:rPr>
          <w:rFonts w:ascii="Palatino Linotype" w:eastAsia="Palatino Linotype" w:hAnsi="Palatino Linotype" w:cs="Palatino Linotype"/>
          <w:sz w:val="22"/>
          <w:szCs w:val="22"/>
        </w:rPr>
        <w:t>on March 12, 2021</w:t>
      </w:r>
      <w:r>
        <w:rPr>
          <w:rFonts w:ascii="Palatino Linotype" w:eastAsia="Palatino Linotype" w:hAnsi="Palatino Linotype" w:cs="Palatino Linotype"/>
          <w:sz w:val="22"/>
          <w:szCs w:val="22"/>
        </w:rPr>
        <w:t xml:space="preserve">. Both the indices reached their </w:t>
      </w:r>
      <w:r w:rsidRPr="001D4399">
        <w:rPr>
          <w:rFonts w:ascii="Palatino Linotype" w:eastAsia="Palatino Linotype" w:hAnsi="Palatino Linotype" w:cs="Palatino Linotype"/>
          <w:sz w:val="22"/>
          <w:szCs w:val="22"/>
        </w:rPr>
        <w:t xml:space="preserve">intraday low for the month at 14,264 </w:t>
      </w:r>
      <w:r>
        <w:rPr>
          <w:rFonts w:ascii="Palatino Linotype" w:eastAsia="Palatino Linotype" w:hAnsi="Palatino Linotype" w:cs="Palatino Linotype"/>
          <w:sz w:val="22"/>
          <w:szCs w:val="22"/>
        </w:rPr>
        <w:t>and</w:t>
      </w:r>
      <w:r w:rsidRPr="001D4399">
        <w:rPr>
          <w:rFonts w:ascii="Palatino Linotype" w:eastAsia="Palatino Linotype" w:hAnsi="Palatino Linotype" w:cs="Palatino Linotype"/>
          <w:sz w:val="22"/>
          <w:szCs w:val="22"/>
        </w:rPr>
        <w:t xml:space="preserve"> 48,236 for the month on March 25, 2021.</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The P/E ratios of S&amp;P BSE Sensex and Nifty 50 were 34.4 and 33.2, respectively, at the end of </w:t>
      </w:r>
      <w:r>
        <w:rPr>
          <w:rFonts w:ascii="Palatino Linotype" w:eastAsia="Palatino Linotype" w:hAnsi="Palatino Linotype" w:cs="Palatino Linotype"/>
          <w:sz w:val="22"/>
          <w:szCs w:val="22"/>
        </w:rPr>
        <w:t>March</w:t>
      </w:r>
      <w:r w:rsidRPr="001D4399">
        <w:rPr>
          <w:rFonts w:ascii="Palatino Linotype" w:eastAsia="Palatino Linotype" w:hAnsi="Palatino Linotype" w:cs="Palatino Linotype"/>
          <w:sz w:val="22"/>
          <w:szCs w:val="22"/>
        </w:rPr>
        <w:t xml:space="preserve"> 2021 compared to 33.9 and 39.7 respectively, at the end of February 2021.</w:t>
      </w:r>
    </w:p>
    <w:p w:rsidR="001755DE" w:rsidRPr="001D4399" w:rsidRDefault="001755DE" w:rsidP="001755DE">
      <w:pPr>
        <w:pBdr>
          <w:top w:val="nil"/>
          <w:left w:val="nil"/>
          <w:bottom w:val="nil"/>
          <w:right w:val="nil"/>
          <w:between w:val="nil"/>
        </w:pBdr>
        <w:spacing w:line="276" w:lineRule="auto"/>
        <w:ind w:left="720" w:hanging="720"/>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 xml:space="preserve">Table 2: Snapshot of Indian Capital Market </w:t>
      </w:r>
    </w:p>
    <w:tbl>
      <w:tblPr>
        <w:tblW w:w="9586" w:type="dxa"/>
        <w:tblLook w:val="04A0" w:firstRow="1" w:lastRow="0" w:firstColumn="1" w:lastColumn="0" w:noHBand="0" w:noVBand="1"/>
      </w:tblPr>
      <w:tblGrid>
        <w:gridCol w:w="3421"/>
        <w:gridCol w:w="1933"/>
        <w:gridCol w:w="1933"/>
        <w:gridCol w:w="2299"/>
      </w:tblGrid>
      <w:tr w:rsidR="001755DE" w:rsidRPr="00797A8B" w:rsidTr="00A91C39">
        <w:trPr>
          <w:trHeight w:val="634"/>
        </w:trPr>
        <w:tc>
          <w:tcPr>
            <w:tcW w:w="3421" w:type="dxa"/>
            <w:tcBorders>
              <w:top w:val="single" w:sz="4" w:space="0" w:color="000000"/>
              <w:left w:val="single" w:sz="4" w:space="0" w:color="000000"/>
              <w:bottom w:val="single" w:sz="4" w:space="0" w:color="000000"/>
              <w:right w:val="single" w:sz="4" w:space="0" w:color="000000"/>
            </w:tcBorders>
            <w:shd w:val="clear" w:color="92CDDC" w:fill="92CDDC"/>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Description</w:t>
            </w:r>
          </w:p>
        </w:tc>
        <w:tc>
          <w:tcPr>
            <w:tcW w:w="1932" w:type="dxa"/>
            <w:tcBorders>
              <w:top w:val="single" w:sz="4" w:space="0" w:color="000000"/>
              <w:left w:val="nil"/>
              <w:bottom w:val="single" w:sz="4" w:space="0" w:color="000000"/>
              <w:right w:val="single" w:sz="4" w:space="0" w:color="000000"/>
            </w:tcBorders>
            <w:shd w:val="clear" w:color="92CDDC" w:fill="92CDDC"/>
            <w:noWrap/>
            <w:vAlign w:val="center"/>
            <w:hideMark/>
          </w:tcPr>
          <w:p w:rsidR="001755DE" w:rsidRPr="001D4399" w:rsidRDefault="001755DE" w:rsidP="00A91C39">
            <w:pPr>
              <w:jc w:val="cente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Feb-21</w:t>
            </w:r>
          </w:p>
        </w:tc>
        <w:tc>
          <w:tcPr>
            <w:tcW w:w="1932" w:type="dxa"/>
            <w:tcBorders>
              <w:top w:val="single" w:sz="4" w:space="0" w:color="000000"/>
              <w:left w:val="nil"/>
              <w:bottom w:val="single" w:sz="4" w:space="0" w:color="000000"/>
              <w:right w:val="single" w:sz="4" w:space="0" w:color="000000"/>
            </w:tcBorders>
            <w:shd w:val="clear" w:color="92CDDC" w:fill="92CDDC"/>
            <w:noWrap/>
            <w:vAlign w:val="center"/>
            <w:hideMark/>
          </w:tcPr>
          <w:p w:rsidR="001755DE" w:rsidRPr="001D4399" w:rsidRDefault="001755DE" w:rsidP="00A91C39">
            <w:pPr>
              <w:jc w:val="cente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Mar-21</w:t>
            </w:r>
          </w:p>
        </w:tc>
        <w:tc>
          <w:tcPr>
            <w:tcW w:w="2298" w:type="dxa"/>
            <w:tcBorders>
              <w:top w:val="single" w:sz="4" w:space="0" w:color="000000"/>
              <w:left w:val="nil"/>
              <w:bottom w:val="single" w:sz="4" w:space="0" w:color="000000"/>
              <w:right w:val="single" w:sz="4" w:space="0" w:color="000000"/>
            </w:tcBorders>
            <w:shd w:val="clear" w:color="92CDDC" w:fill="92CDDC"/>
            <w:vAlign w:val="center"/>
            <w:hideMark/>
          </w:tcPr>
          <w:p w:rsidR="001755DE" w:rsidRPr="001D4399" w:rsidRDefault="001755DE" w:rsidP="00A91C39">
            <w:pPr>
              <w:jc w:val="cente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Change during the Month</w:t>
            </w:r>
          </w:p>
        </w:tc>
      </w:tr>
      <w:tr w:rsidR="001755DE" w:rsidRPr="00797A8B" w:rsidTr="00A91C39">
        <w:trPr>
          <w:trHeight w:val="256"/>
        </w:trPr>
        <w:tc>
          <w:tcPr>
            <w:tcW w:w="3421" w:type="dxa"/>
            <w:tcBorders>
              <w:top w:val="nil"/>
              <w:left w:val="single" w:sz="4" w:space="0" w:color="000000"/>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Index in Equity Market</w:t>
            </w:r>
          </w:p>
        </w:tc>
        <w:tc>
          <w:tcPr>
            <w:tcW w:w="1932" w:type="dxa"/>
            <w:tcBorders>
              <w:top w:val="nil"/>
              <w:left w:val="nil"/>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c>
          <w:tcPr>
            <w:tcW w:w="1932" w:type="dxa"/>
            <w:tcBorders>
              <w:top w:val="nil"/>
              <w:left w:val="nil"/>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c>
          <w:tcPr>
            <w:tcW w:w="2298" w:type="dxa"/>
            <w:tcBorders>
              <w:top w:val="nil"/>
              <w:left w:val="nil"/>
              <w:bottom w:val="single" w:sz="4" w:space="0" w:color="000000"/>
              <w:right w:val="single" w:sz="4" w:space="0" w:color="000000"/>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Nifty 50</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14,529</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14,691</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1.1</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Sensex</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49,100</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49,509</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0.8</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Nifty Midcap</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                    6,797 </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                    6,772 </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-0.4</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Nifty Smallcap</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                    8,050 </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                    8,113 </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0.8</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BSE Midcap</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                 19,979 </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                 20,181 </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1.0</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BSE Smallcap</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                 20,155 </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                 20,649 </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2.5</w:t>
            </w:r>
          </w:p>
        </w:tc>
      </w:tr>
      <w:tr w:rsidR="001755DE" w:rsidRPr="00797A8B" w:rsidTr="00A91C39">
        <w:trPr>
          <w:trHeight w:val="256"/>
        </w:trPr>
        <w:tc>
          <w:tcPr>
            <w:tcW w:w="5354"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Market Capitalisation (</w:t>
            </w:r>
            <w:r w:rsidRPr="001D4399">
              <w:rPr>
                <w:rFonts w:ascii="Tahoma" w:eastAsia="Times New Roman" w:hAnsi="Tahoma" w:cs="Tahoma"/>
                <w:b/>
                <w:bCs/>
                <w:sz w:val="20"/>
                <w:szCs w:val="20"/>
                <w:lang w:val="en-IN" w:eastAsia="en-IN" w:bidi="hi-IN"/>
              </w:rPr>
              <w:t>₹</w:t>
            </w:r>
            <w:r w:rsidRPr="001D4399">
              <w:rPr>
                <w:rFonts w:ascii="Palatino Linotype" w:eastAsia="Times New Roman" w:hAnsi="Palatino Linotype"/>
                <w:b/>
                <w:bCs/>
                <w:sz w:val="20"/>
                <w:szCs w:val="20"/>
                <w:lang w:val="en-IN" w:eastAsia="en-IN" w:bidi="hi-IN"/>
              </w:rPr>
              <w:t xml:space="preserve"> crore)</w:t>
            </w:r>
          </w:p>
        </w:tc>
        <w:tc>
          <w:tcPr>
            <w:tcW w:w="1932" w:type="dxa"/>
            <w:tcBorders>
              <w:top w:val="nil"/>
              <w:left w:val="nil"/>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c>
          <w:tcPr>
            <w:tcW w:w="2298" w:type="dxa"/>
            <w:tcBorders>
              <w:top w:val="nil"/>
              <w:left w:val="nil"/>
              <w:bottom w:val="single" w:sz="4" w:space="0" w:color="000000"/>
              <w:right w:val="single" w:sz="4" w:space="0" w:color="000000"/>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BSE </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2,00,81,096</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2,04,30,815</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1.7</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NSE</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1,99,63,826</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2,02,95,813</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1.7</w:t>
            </w:r>
          </w:p>
        </w:tc>
      </w:tr>
      <w:tr w:rsidR="001755DE" w:rsidRPr="00797A8B" w:rsidTr="00A91C39">
        <w:trPr>
          <w:trHeight w:val="256"/>
        </w:trPr>
        <w:tc>
          <w:tcPr>
            <w:tcW w:w="3421" w:type="dxa"/>
            <w:tcBorders>
              <w:top w:val="nil"/>
              <w:left w:val="single" w:sz="4" w:space="0" w:color="000000"/>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P/E Ratio</w:t>
            </w:r>
          </w:p>
        </w:tc>
        <w:tc>
          <w:tcPr>
            <w:tcW w:w="1932" w:type="dxa"/>
            <w:tcBorders>
              <w:top w:val="nil"/>
              <w:left w:val="nil"/>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c>
          <w:tcPr>
            <w:tcW w:w="1932" w:type="dxa"/>
            <w:tcBorders>
              <w:top w:val="nil"/>
              <w:left w:val="nil"/>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c>
          <w:tcPr>
            <w:tcW w:w="2298" w:type="dxa"/>
            <w:tcBorders>
              <w:top w:val="nil"/>
              <w:left w:val="nil"/>
              <w:bottom w:val="single" w:sz="4" w:space="0" w:color="000000"/>
              <w:right w:val="single" w:sz="4" w:space="0" w:color="000000"/>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Sensex</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33.9</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34.4</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1.5</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Nifty 50#</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39.7</w:t>
            </w:r>
          </w:p>
        </w:tc>
        <w:tc>
          <w:tcPr>
            <w:tcW w:w="1932"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33.2</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-16.3</w:t>
            </w:r>
          </w:p>
        </w:tc>
      </w:tr>
      <w:tr w:rsidR="001755DE" w:rsidRPr="00797A8B" w:rsidTr="00A91C39">
        <w:trPr>
          <w:trHeight w:val="256"/>
        </w:trPr>
        <w:tc>
          <w:tcPr>
            <w:tcW w:w="3421" w:type="dxa"/>
            <w:tcBorders>
              <w:top w:val="nil"/>
              <w:left w:val="single" w:sz="4" w:space="0" w:color="000000"/>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No of Listed Companies</w:t>
            </w:r>
          </w:p>
        </w:tc>
        <w:tc>
          <w:tcPr>
            <w:tcW w:w="1932" w:type="dxa"/>
            <w:tcBorders>
              <w:top w:val="nil"/>
              <w:left w:val="nil"/>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c>
          <w:tcPr>
            <w:tcW w:w="1932" w:type="dxa"/>
            <w:tcBorders>
              <w:top w:val="nil"/>
              <w:left w:val="nil"/>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c>
          <w:tcPr>
            <w:tcW w:w="2298" w:type="dxa"/>
            <w:tcBorders>
              <w:top w:val="nil"/>
              <w:left w:val="nil"/>
              <w:bottom w:val="single" w:sz="4" w:space="0" w:color="000000"/>
              <w:right w:val="single" w:sz="4" w:space="0" w:color="000000"/>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BSE </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5,462</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5,477</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0.3</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NSE</w:t>
            </w:r>
          </w:p>
        </w:tc>
        <w:tc>
          <w:tcPr>
            <w:tcW w:w="1932" w:type="dxa"/>
            <w:tcBorders>
              <w:top w:val="nil"/>
              <w:left w:val="nil"/>
              <w:bottom w:val="single" w:sz="4" w:space="0" w:color="000000"/>
              <w:right w:val="single" w:sz="4" w:space="0" w:color="000000"/>
            </w:tcBorders>
            <w:shd w:val="clear" w:color="FFFFFF" w:fill="FFFFFF"/>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1,957</w:t>
            </w:r>
          </w:p>
        </w:tc>
        <w:tc>
          <w:tcPr>
            <w:tcW w:w="1932" w:type="dxa"/>
            <w:tcBorders>
              <w:top w:val="nil"/>
              <w:left w:val="nil"/>
              <w:bottom w:val="single" w:sz="4" w:space="0" w:color="000000"/>
              <w:right w:val="single" w:sz="4" w:space="0" w:color="000000"/>
            </w:tcBorders>
            <w:shd w:val="clear" w:color="FFFFFF" w:fill="FFFFFF"/>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1,968</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0.6</w:t>
            </w:r>
          </w:p>
        </w:tc>
      </w:tr>
      <w:tr w:rsidR="001755DE" w:rsidRPr="00797A8B" w:rsidTr="00A91C39">
        <w:trPr>
          <w:trHeight w:val="256"/>
        </w:trPr>
        <w:tc>
          <w:tcPr>
            <w:tcW w:w="5354" w:type="dxa"/>
            <w:gridSpan w:val="2"/>
            <w:tcBorders>
              <w:top w:val="single" w:sz="4" w:space="0" w:color="000000"/>
              <w:left w:val="single" w:sz="4" w:space="0" w:color="000000"/>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Gross Turnover in Equity Segment (</w:t>
            </w:r>
            <w:r w:rsidRPr="001D4399">
              <w:rPr>
                <w:rFonts w:ascii="Tahoma" w:eastAsia="Times New Roman" w:hAnsi="Tahoma" w:cs="Tahoma"/>
                <w:b/>
                <w:bCs/>
                <w:sz w:val="20"/>
                <w:szCs w:val="20"/>
                <w:lang w:val="en-IN" w:eastAsia="en-IN" w:bidi="hi-IN"/>
              </w:rPr>
              <w:t>₹</w:t>
            </w:r>
            <w:r w:rsidRPr="001D4399">
              <w:rPr>
                <w:rFonts w:ascii="Palatino Linotype" w:eastAsia="Times New Roman" w:hAnsi="Palatino Linotype"/>
                <w:b/>
                <w:bCs/>
                <w:sz w:val="20"/>
                <w:szCs w:val="20"/>
                <w:lang w:val="en-IN" w:eastAsia="en-IN" w:bidi="hi-IN"/>
              </w:rPr>
              <w:t xml:space="preserve"> crore)</w:t>
            </w:r>
          </w:p>
        </w:tc>
        <w:tc>
          <w:tcPr>
            <w:tcW w:w="1932" w:type="dxa"/>
            <w:tcBorders>
              <w:top w:val="nil"/>
              <w:left w:val="nil"/>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c>
          <w:tcPr>
            <w:tcW w:w="2298" w:type="dxa"/>
            <w:tcBorders>
              <w:top w:val="nil"/>
              <w:left w:val="nil"/>
              <w:bottom w:val="single" w:sz="4" w:space="0" w:color="000000"/>
              <w:right w:val="single" w:sz="4" w:space="0" w:color="000000"/>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BSE </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1,44,955</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1,05,229</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-27.4</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NSE</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16,27,464</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13,98,947</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-14.0</w:t>
            </w:r>
          </w:p>
        </w:tc>
      </w:tr>
      <w:tr w:rsidR="001755DE" w:rsidRPr="00797A8B" w:rsidTr="00A91C39">
        <w:trPr>
          <w:trHeight w:val="256"/>
        </w:trPr>
        <w:tc>
          <w:tcPr>
            <w:tcW w:w="7287"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Gross Turnover in Equity Derivatives Segment (</w:t>
            </w:r>
            <w:r w:rsidRPr="001D4399">
              <w:rPr>
                <w:rFonts w:ascii="Tahoma" w:eastAsia="Times New Roman" w:hAnsi="Tahoma" w:cs="Tahoma"/>
                <w:b/>
                <w:bCs/>
                <w:sz w:val="20"/>
                <w:szCs w:val="20"/>
                <w:lang w:val="en-IN" w:eastAsia="en-IN" w:bidi="hi-IN"/>
              </w:rPr>
              <w:t>₹</w:t>
            </w:r>
            <w:r w:rsidRPr="001D4399">
              <w:rPr>
                <w:rFonts w:ascii="Palatino Linotype" w:eastAsia="Times New Roman" w:hAnsi="Palatino Linotype"/>
                <w:b/>
                <w:bCs/>
                <w:sz w:val="20"/>
                <w:szCs w:val="20"/>
                <w:lang w:val="en-IN" w:eastAsia="en-IN" w:bidi="hi-IN"/>
              </w:rPr>
              <w:t xml:space="preserve"> crore)</w:t>
            </w:r>
          </w:p>
        </w:tc>
        <w:tc>
          <w:tcPr>
            <w:tcW w:w="2298" w:type="dxa"/>
            <w:tcBorders>
              <w:top w:val="nil"/>
              <w:left w:val="nil"/>
              <w:bottom w:val="single" w:sz="4" w:space="0" w:color="000000"/>
              <w:right w:val="single" w:sz="4" w:space="0" w:color="000000"/>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BSE </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58,37,172</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62,12,506</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6.4</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NSE</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8,60,21,969</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9,32,04,875</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8.4</w:t>
            </w:r>
          </w:p>
        </w:tc>
      </w:tr>
      <w:tr w:rsidR="001755DE" w:rsidRPr="00797A8B" w:rsidTr="00A91C39">
        <w:trPr>
          <w:trHeight w:val="256"/>
        </w:trPr>
        <w:tc>
          <w:tcPr>
            <w:tcW w:w="7287" w:type="dxa"/>
            <w:gridSpan w:val="3"/>
            <w:tcBorders>
              <w:top w:val="single" w:sz="4" w:space="0" w:color="000000"/>
              <w:left w:val="single" w:sz="4" w:space="0" w:color="000000"/>
              <w:bottom w:val="single" w:sz="4" w:space="0" w:color="000000"/>
              <w:right w:val="nil"/>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Gross Turnover in Currency Derivatives Segment (</w:t>
            </w:r>
            <w:r w:rsidRPr="001D4399">
              <w:rPr>
                <w:rFonts w:ascii="Tahoma" w:eastAsia="Times New Roman" w:hAnsi="Tahoma" w:cs="Tahoma"/>
                <w:b/>
                <w:bCs/>
                <w:sz w:val="20"/>
                <w:szCs w:val="20"/>
                <w:lang w:val="en-IN" w:eastAsia="en-IN" w:bidi="hi-IN"/>
              </w:rPr>
              <w:t>₹</w:t>
            </w:r>
            <w:r w:rsidRPr="001D4399">
              <w:rPr>
                <w:rFonts w:ascii="Palatino Linotype" w:eastAsia="Times New Roman" w:hAnsi="Palatino Linotype"/>
                <w:b/>
                <w:bCs/>
                <w:sz w:val="20"/>
                <w:szCs w:val="20"/>
                <w:lang w:val="en-IN" w:eastAsia="en-IN" w:bidi="hi-IN"/>
              </w:rPr>
              <w:t xml:space="preserve"> crore)</w:t>
            </w:r>
          </w:p>
        </w:tc>
        <w:tc>
          <w:tcPr>
            <w:tcW w:w="2298" w:type="dxa"/>
            <w:tcBorders>
              <w:top w:val="nil"/>
              <w:left w:val="nil"/>
              <w:bottom w:val="single" w:sz="4" w:space="0" w:color="000000"/>
              <w:right w:val="single" w:sz="4" w:space="0" w:color="000000"/>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 </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BSE </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4,49,171</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5,63,284</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25.4</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NSE</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10,82,489</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14,44,571</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33.4</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MSEI</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12,192</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14,324</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17.5</w:t>
            </w:r>
          </w:p>
        </w:tc>
      </w:tr>
      <w:tr w:rsidR="001755DE" w:rsidRPr="00797A8B" w:rsidTr="00A91C39">
        <w:trPr>
          <w:trHeight w:val="256"/>
        </w:trPr>
        <w:tc>
          <w:tcPr>
            <w:tcW w:w="9586" w:type="dxa"/>
            <w:gridSpan w:val="4"/>
            <w:tcBorders>
              <w:top w:val="single" w:sz="4" w:space="0" w:color="000000"/>
              <w:left w:val="single" w:sz="4" w:space="0" w:color="000000"/>
              <w:bottom w:val="single" w:sz="4" w:space="0" w:color="000000"/>
              <w:right w:val="single" w:sz="4" w:space="0" w:color="000000"/>
            </w:tcBorders>
            <w:shd w:val="clear" w:color="C6E0B4" w:fill="C6E0B4"/>
            <w:noWrap/>
            <w:vAlign w:val="center"/>
            <w:hideMark/>
          </w:tcPr>
          <w:p w:rsidR="001755DE" w:rsidRPr="001D4399" w:rsidRDefault="001755DE" w:rsidP="00A91C39">
            <w:pPr>
              <w:rPr>
                <w:rFonts w:ascii="Palatino Linotype" w:eastAsia="Times New Roman" w:hAnsi="Palatino Linotype"/>
                <w:b/>
                <w:bCs/>
                <w:sz w:val="20"/>
                <w:szCs w:val="20"/>
                <w:lang w:val="en-IN" w:eastAsia="en-IN" w:bidi="hi-IN"/>
              </w:rPr>
            </w:pPr>
            <w:r w:rsidRPr="001D4399">
              <w:rPr>
                <w:rFonts w:ascii="Palatino Linotype" w:eastAsia="Times New Roman" w:hAnsi="Palatino Linotype"/>
                <w:b/>
                <w:bCs/>
                <w:sz w:val="20"/>
                <w:szCs w:val="20"/>
                <w:lang w:val="en-IN" w:eastAsia="en-IN" w:bidi="hi-IN"/>
              </w:rPr>
              <w:t>Gross Turnover in Interest Rate Derivatives Segment (</w:t>
            </w:r>
            <w:r w:rsidRPr="001D4399">
              <w:rPr>
                <w:rFonts w:ascii="Tahoma" w:eastAsia="Times New Roman" w:hAnsi="Tahoma" w:cs="Tahoma"/>
                <w:b/>
                <w:bCs/>
                <w:sz w:val="20"/>
                <w:szCs w:val="20"/>
                <w:lang w:val="en-IN" w:eastAsia="en-IN" w:bidi="hi-IN"/>
              </w:rPr>
              <w:t>₹</w:t>
            </w:r>
            <w:r w:rsidRPr="001D4399">
              <w:rPr>
                <w:rFonts w:ascii="Palatino Linotype" w:eastAsia="Times New Roman" w:hAnsi="Palatino Linotype"/>
                <w:b/>
                <w:bCs/>
                <w:sz w:val="20"/>
                <w:szCs w:val="20"/>
                <w:lang w:val="en-IN" w:eastAsia="en-IN" w:bidi="hi-IN"/>
              </w:rPr>
              <w:t xml:space="preserve"> crore)</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 xml:space="preserve">BSE </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5,520</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14,649</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165.4</w:t>
            </w:r>
          </w:p>
        </w:tc>
      </w:tr>
      <w:tr w:rsidR="001755DE" w:rsidRPr="00797A8B" w:rsidTr="00A91C39">
        <w:trPr>
          <w:trHeight w:val="256"/>
        </w:trPr>
        <w:tc>
          <w:tcPr>
            <w:tcW w:w="3421" w:type="dxa"/>
            <w:tcBorders>
              <w:top w:val="nil"/>
              <w:left w:val="single" w:sz="4" w:space="0" w:color="000000"/>
              <w:bottom w:val="single" w:sz="4" w:space="0" w:color="000000"/>
              <w:right w:val="single" w:sz="4" w:space="0" w:color="000000"/>
            </w:tcBorders>
            <w:shd w:val="clear" w:color="auto" w:fill="auto"/>
            <w:noWrap/>
            <w:vAlign w:val="bottom"/>
            <w:hideMark/>
          </w:tcPr>
          <w:p w:rsidR="001755DE" w:rsidRPr="001D4399" w:rsidRDefault="001755DE" w:rsidP="00A91C39">
            <w:pPr>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NSE</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6,735</w:t>
            </w:r>
          </w:p>
        </w:tc>
        <w:tc>
          <w:tcPr>
            <w:tcW w:w="1932" w:type="dxa"/>
            <w:tcBorders>
              <w:top w:val="nil"/>
              <w:left w:val="nil"/>
              <w:bottom w:val="single" w:sz="4" w:space="0" w:color="000000"/>
              <w:right w:val="single" w:sz="4" w:space="0" w:color="000000"/>
            </w:tcBorders>
            <w:shd w:val="clear" w:color="000000" w:fill="FFFFFF"/>
            <w:noWrap/>
            <w:vAlign w:val="bottom"/>
            <w:hideMark/>
          </w:tcPr>
          <w:p w:rsidR="001755DE" w:rsidRPr="001D4399" w:rsidRDefault="001755DE" w:rsidP="00A91C39">
            <w:pPr>
              <w:jc w:val="right"/>
              <w:rPr>
                <w:rFonts w:ascii="Palatino Linotype" w:eastAsia="Times New Roman" w:hAnsi="Palatino Linotype"/>
                <w:color w:val="000000"/>
                <w:sz w:val="20"/>
                <w:szCs w:val="20"/>
                <w:lang w:val="en-IN" w:eastAsia="en-IN" w:bidi="hi-IN"/>
              </w:rPr>
            </w:pPr>
            <w:r w:rsidRPr="001D4399">
              <w:rPr>
                <w:rFonts w:ascii="Palatino Linotype" w:eastAsia="Times New Roman" w:hAnsi="Palatino Linotype"/>
                <w:color w:val="000000"/>
                <w:sz w:val="20"/>
                <w:szCs w:val="20"/>
                <w:lang w:val="en-IN" w:eastAsia="en-IN" w:bidi="hi-IN"/>
              </w:rPr>
              <w:t>4,390</w:t>
            </w:r>
          </w:p>
        </w:tc>
        <w:tc>
          <w:tcPr>
            <w:tcW w:w="2298" w:type="dxa"/>
            <w:tcBorders>
              <w:top w:val="nil"/>
              <w:left w:val="nil"/>
              <w:bottom w:val="single" w:sz="4" w:space="0" w:color="000000"/>
              <w:right w:val="single" w:sz="4" w:space="0" w:color="000000"/>
            </w:tcBorders>
            <w:shd w:val="clear" w:color="auto" w:fill="auto"/>
            <w:noWrap/>
            <w:vAlign w:val="bottom"/>
            <w:hideMark/>
          </w:tcPr>
          <w:p w:rsidR="001755DE" w:rsidRPr="001D4399" w:rsidRDefault="001755DE" w:rsidP="00A91C39">
            <w:pPr>
              <w:jc w:val="right"/>
              <w:rPr>
                <w:rFonts w:ascii="Palatino Linotype" w:eastAsia="Times New Roman" w:hAnsi="Palatino Linotype"/>
                <w:sz w:val="20"/>
                <w:szCs w:val="20"/>
                <w:lang w:val="en-IN" w:eastAsia="en-IN" w:bidi="hi-IN"/>
              </w:rPr>
            </w:pPr>
            <w:r w:rsidRPr="001D4399">
              <w:rPr>
                <w:rFonts w:ascii="Palatino Linotype" w:eastAsia="Times New Roman" w:hAnsi="Palatino Linotype"/>
                <w:sz w:val="20"/>
                <w:szCs w:val="20"/>
                <w:lang w:val="en-IN" w:eastAsia="en-IN" w:bidi="hi-IN"/>
              </w:rPr>
              <w:t>-34.8</w:t>
            </w:r>
          </w:p>
        </w:tc>
      </w:tr>
    </w:tbl>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Note: #</w:t>
      </w:r>
      <w:r w:rsidRPr="00484D1D">
        <w:rPr>
          <w:rFonts w:ascii="Palatino Linotype" w:eastAsia="Palatino Linotype" w:hAnsi="Palatino Linotype" w:cs="Palatino Linotype"/>
          <w:bCs/>
          <w:sz w:val="18"/>
          <w:szCs w:val="18"/>
        </w:rPr>
        <w:t>NSE changes the PE methodology by taking into consolidated earning w.e.f. March 31, 2021</w:t>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Source: </w:t>
      </w:r>
      <w:r w:rsidRPr="00484D1D">
        <w:rPr>
          <w:rFonts w:ascii="Palatino Linotype" w:eastAsia="Palatino Linotype" w:hAnsi="Palatino Linotype" w:cs="Palatino Linotype"/>
          <w:bCs/>
          <w:sz w:val="18"/>
          <w:szCs w:val="18"/>
        </w:rPr>
        <w:t>BSE, NSE and MSEI</w:t>
      </w:r>
      <w:r w:rsidRPr="001D4399">
        <w:rPr>
          <w:rFonts w:ascii="Palatino Linotype" w:eastAsia="Palatino Linotype" w:hAnsi="Palatino Linotype" w:cs="Palatino Linotype"/>
          <w:b/>
          <w:sz w:val="18"/>
          <w:szCs w:val="18"/>
        </w:rPr>
        <w:br w:type="page"/>
      </w: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Figure 1: Movement of S&amp;P BSE Sensex and Nifty 50 during March 2021</w:t>
      </w:r>
    </w:p>
    <w:p w:rsidR="001755DE" w:rsidRPr="001D4399" w:rsidRDefault="001755DE" w:rsidP="001755DE">
      <w:pPr>
        <w:spacing w:line="276" w:lineRule="auto"/>
        <w:rPr>
          <w:rFonts w:ascii="Palatino Linotype" w:eastAsia="Palatino Linotype" w:hAnsi="Palatino Linotype" w:cs="Palatino Linotype"/>
          <w:bCs/>
          <w:sz w:val="22"/>
          <w:szCs w:val="22"/>
          <w:highlight w:val="yellow"/>
        </w:rPr>
      </w:pPr>
      <w:r w:rsidRPr="00797A8B">
        <w:rPr>
          <w:noProof/>
          <w:lang w:val="en-IN" w:eastAsia="en-IN" w:bidi="hi-IN"/>
        </w:rPr>
        <w:drawing>
          <wp:inline distT="0" distB="0" distL="0" distR="0">
            <wp:extent cx="6218555" cy="2607945"/>
            <wp:effectExtent l="0" t="0" r="10795" b="1905"/>
            <wp:docPr id="46" name="Char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55DE" w:rsidRPr="001D4399" w:rsidRDefault="001755DE" w:rsidP="001755DE">
      <w:pPr>
        <w:spacing w:line="276" w:lineRule="auto"/>
        <w:rPr>
          <w:rFonts w:ascii="Palatino Linotype" w:eastAsia="Palatino Linotype" w:hAnsi="Palatino Linotype" w:cs="Palatino Linotype"/>
          <w:b/>
          <w:i/>
          <w:iCs/>
          <w:sz w:val="18"/>
          <w:szCs w:val="18"/>
        </w:rPr>
      </w:pPr>
      <w:r w:rsidRPr="001D4399">
        <w:rPr>
          <w:rFonts w:ascii="Palatino Linotype" w:eastAsia="Palatino Linotype" w:hAnsi="Palatino Linotype" w:cs="Palatino Linotype"/>
          <w:b/>
          <w:i/>
          <w:iCs/>
          <w:sz w:val="18"/>
          <w:szCs w:val="18"/>
        </w:rPr>
        <w:t xml:space="preserve">Note: </w:t>
      </w:r>
      <w:r w:rsidRPr="00484D1D">
        <w:rPr>
          <w:rFonts w:ascii="Palatino Linotype" w:eastAsia="Palatino Linotype" w:hAnsi="Palatino Linotype" w:cs="Palatino Linotype"/>
          <w:bCs/>
          <w:i/>
          <w:iCs/>
          <w:sz w:val="18"/>
          <w:szCs w:val="18"/>
        </w:rPr>
        <w:t>The closing values of Nifty 50 and Sensex have been rebased with respective closing values of last day of the previous month.</w:t>
      </w:r>
      <w:r w:rsidRPr="001D4399">
        <w:rPr>
          <w:rFonts w:ascii="Palatino Linotype" w:eastAsia="Palatino Linotype" w:hAnsi="Palatino Linotype" w:cs="Palatino Linotype"/>
          <w:b/>
          <w:i/>
          <w:iCs/>
          <w:sz w:val="18"/>
          <w:szCs w:val="18"/>
        </w:rPr>
        <w:t xml:space="preserve"> </w:t>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w:t>
      </w:r>
      <w:r w:rsidRPr="00484D1D">
        <w:rPr>
          <w:rFonts w:ascii="Palatino Linotype" w:eastAsia="Palatino Linotype" w:hAnsi="Palatino Linotype" w:cs="Palatino Linotype"/>
          <w:bCs/>
          <w:sz w:val="18"/>
          <w:szCs w:val="18"/>
        </w:rPr>
        <w:t>BSE and NSE</w:t>
      </w:r>
    </w:p>
    <w:p w:rsidR="001755DE" w:rsidRPr="001D4399" w:rsidRDefault="001755DE" w:rsidP="001755DE">
      <w:pPr>
        <w:spacing w:line="276" w:lineRule="auto"/>
        <w:rPr>
          <w:rFonts w:ascii="Palatino Linotype" w:eastAsia="Palatino Linotype" w:hAnsi="Palatino Linotype" w:cs="Palatino Linotype"/>
          <w:b/>
          <w:sz w:val="22"/>
          <w:szCs w:val="22"/>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At the end of March 2021, the market capitalisation of both the BSE and NSE increased by 1.7 per cent each over the level at the end of previous month.  </w:t>
      </w: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highlight w:val="yellow"/>
        </w:rPr>
      </w:pP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highlight w:val="yellow"/>
        </w:rPr>
      </w:pPr>
      <w:r w:rsidRPr="001D4399">
        <w:rPr>
          <w:rFonts w:ascii="Palatino Linotype" w:eastAsia="Palatino Linotype" w:hAnsi="Palatino Linotype" w:cs="Palatino Linotype"/>
          <w:b/>
          <w:sz w:val="22"/>
          <w:szCs w:val="22"/>
        </w:rPr>
        <w:t xml:space="preserve">Figure 2: Trends in Average Daily Values of Nifty 50 and Average Daily Turnover of NSE Equity Cash Segment </w:t>
      </w: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797A8B">
        <w:rPr>
          <w:noProof/>
          <w:lang w:val="en-IN" w:eastAsia="en-IN" w:bidi="hi-IN"/>
        </w:rPr>
        <w:drawing>
          <wp:inline distT="0" distB="0" distL="0" distR="0">
            <wp:extent cx="6066155" cy="2733675"/>
            <wp:effectExtent l="0" t="0" r="10795" b="9525"/>
            <wp:docPr id="45" name="Char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Note: </w:t>
      </w:r>
      <w:r w:rsidRPr="00484D1D">
        <w:rPr>
          <w:rFonts w:ascii="Palatino Linotype" w:eastAsia="Palatino Linotype" w:hAnsi="Palatino Linotype" w:cs="Palatino Linotype"/>
          <w:bCs/>
          <w:sz w:val="18"/>
          <w:szCs w:val="18"/>
        </w:rPr>
        <w:t>ADV implies Average Daily Values and ATD implies Average Daily Turnover</w:t>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w:t>
      </w:r>
      <w:r w:rsidRPr="00484D1D">
        <w:rPr>
          <w:rFonts w:ascii="Palatino Linotype" w:eastAsia="Palatino Linotype" w:hAnsi="Palatino Linotype" w:cs="Palatino Linotype"/>
          <w:bCs/>
          <w:sz w:val="18"/>
          <w:szCs w:val="18"/>
        </w:rPr>
        <w:t xml:space="preserve">NSE </w:t>
      </w:r>
      <w:r w:rsidRPr="001D4399">
        <w:rPr>
          <w:rFonts w:ascii="Palatino Linotype" w:eastAsia="Palatino Linotype" w:hAnsi="Palatino Linotype" w:cs="Palatino Linotype"/>
          <w:b/>
          <w:sz w:val="18"/>
          <w:szCs w:val="18"/>
        </w:rPr>
        <w:t xml:space="preserve"> </w:t>
      </w:r>
      <w:r w:rsidRPr="001D4399">
        <w:rPr>
          <w:rFonts w:ascii="Palatino Linotype" w:eastAsia="Palatino Linotype" w:hAnsi="Palatino Linotype" w:cs="Palatino Linotype"/>
          <w:b/>
          <w:sz w:val="18"/>
          <w:szCs w:val="18"/>
        </w:rPr>
        <w:br w:type="page"/>
      </w:r>
    </w:p>
    <w:p w:rsidR="001755DE" w:rsidRPr="001D4399" w:rsidRDefault="001755DE" w:rsidP="001755DE">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1D4399">
        <w:rPr>
          <w:rFonts w:ascii="Palatino Linotype" w:eastAsia="Palatino Linotype" w:hAnsi="Palatino Linotype" w:cs="Palatino Linotype"/>
          <w:b/>
          <w:sz w:val="22"/>
          <w:szCs w:val="22"/>
        </w:rPr>
        <w:t xml:space="preserve">Figure 3: Trends in Average Daily Values of Sensex and Average Daily Turnover of BSE Equity Cash Segment </w:t>
      </w:r>
      <w:r w:rsidRPr="00797A8B">
        <w:rPr>
          <w:noProof/>
          <w:lang w:val="en-IN" w:eastAsia="en-IN" w:bidi="hi-IN"/>
        </w:rPr>
        <w:drawing>
          <wp:inline distT="0" distB="0" distL="0" distR="0">
            <wp:extent cx="5913755" cy="2604135"/>
            <wp:effectExtent l="0" t="0" r="10795" b="5715"/>
            <wp:docPr id="44" name="Char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Note: ADV implies Average Daily Values and ATD implies Average Daily Turnover</w:t>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BSE  </w:t>
      </w:r>
    </w:p>
    <w:p w:rsidR="001755DE" w:rsidRPr="001D4399" w:rsidRDefault="001755DE" w:rsidP="001755DE">
      <w:pPr>
        <w:spacing w:line="276" w:lineRule="auto"/>
        <w:jc w:val="both"/>
        <w:rPr>
          <w:rFonts w:ascii="Palatino Linotype" w:eastAsia="Palatino Linotype" w:hAnsi="Palatino Linotype" w:cs="Palatino Linotype"/>
          <w:color w:val="2E74B5"/>
          <w:sz w:val="22"/>
          <w:szCs w:val="22"/>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During March 2021, the gross turnover in the equity cash segments, both at BSE and NSE, decreased by 27.4 per cent and 14</w:t>
      </w:r>
      <w:r>
        <w:rPr>
          <w:rFonts w:ascii="Palatino Linotype" w:eastAsia="Palatino Linotype" w:hAnsi="Palatino Linotype" w:cs="Palatino Linotype"/>
          <w:sz w:val="22"/>
          <w:szCs w:val="22"/>
        </w:rPr>
        <w:t>.0</w:t>
      </w:r>
      <w:r w:rsidRPr="001D4399">
        <w:rPr>
          <w:rFonts w:ascii="Palatino Linotype" w:eastAsia="Palatino Linotype" w:hAnsi="Palatino Linotype" w:cs="Palatino Linotype"/>
          <w:sz w:val="22"/>
          <w:szCs w:val="22"/>
        </w:rPr>
        <w:t xml:space="preserve"> per cent respectively. </w:t>
      </w: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w:t>
      </w:r>
      <w:r w:rsidRPr="001D4399">
        <w:rPr>
          <w:rFonts w:ascii="Palatino Linotype" w:eastAsia="Palatino Linotype" w:hAnsi="Palatino Linotype" w:cs="Palatino Linotype"/>
          <w:sz w:val="22"/>
          <w:szCs w:val="22"/>
        </w:rPr>
        <w:t>elected BSE sectoral indices</w:t>
      </w:r>
      <w:r>
        <w:rPr>
          <w:rFonts w:ascii="Palatino Linotype" w:eastAsia="Palatino Linotype" w:hAnsi="Palatino Linotype" w:cs="Palatino Linotype"/>
          <w:sz w:val="22"/>
          <w:szCs w:val="22"/>
        </w:rPr>
        <w:t xml:space="preserve"> </w:t>
      </w:r>
      <w:r w:rsidRPr="001D4399">
        <w:rPr>
          <w:rFonts w:ascii="Palatino Linotype" w:eastAsia="Palatino Linotype" w:hAnsi="Palatino Linotype" w:cs="Palatino Linotype"/>
          <w:sz w:val="22"/>
          <w:szCs w:val="22"/>
        </w:rPr>
        <w:t>witnessed mixed trends</w:t>
      </w:r>
      <w:r>
        <w:rPr>
          <w:rFonts w:ascii="Palatino Linotype" w:eastAsia="Palatino Linotype" w:hAnsi="Palatino Linotype" w:cs="Palatino Linotype"/>
          <w:sz w:val="22"/>
          <w:szCs w:val="22"/>
        </w:rPr>
        <w:t xml:space="preserve"> during March 2021</w:t>
      </w:r>
      <w:r w:rsidRPr="001D4399">
        <w:rPr>
          <w:rFonts w:ascii="Palatino Linotype" w:eastAsia="Palatino Linotype" w:hAnsi="Palatino Linotype" w:cs="Palatino Linotype"/>
          <w:sz w:val="22"/>
          <w:szCs w:val="22"/>
        </w:rPr>
        <w:t>.  Amongst these, S&amp;P BSE Teck increased by 6.1 per cent, followed by S&amp;P BSE Metal (4.6 per cent), S&amp;P BSE Consumer Durables (3.4 per cent) and S&amp;P BSE Power (2.3 per cent). On the other hand, S&amp;P BSE Oil decreased by 4.7 per cent followed by S&amp;P BSE PSU (4.4 per cent), S&amp;P BSE Reality (4.2 per cent), S&amp;P BSE Bank (3.7 per cent), S&amp;P BSE Auto (3 per cent) and S&amp;P BSE Consumer Goods (2</w:t>
      </w:r>
      <w:r>
        <w:rPr>
          <w:rFonts w:ascii="Palatino Linotype" w:eastAsia="Palatino Linotype" w:hAnsi="Palatino Linotype" w:cs="Palatino Linotype"/>
          <w:sz w:val="22"/>
          <w:szCs w:val="22"/>
        </w:rPr>
        <w:t>.0</w:t>
      </w:r>
      <w:r w:rsidRPr="001D4399">
        <w:rPr>
          <w:rFonts w:ascii="Palatino Linotype" w:eastAsia="Palatino Linotype" w:hAnsi="Palatino Linotype" w:cs="Palatino Linotype"/>
          <w:sz w:val="22"/>
          <w:szCs w:val="22"/>
        </w:rPr>
        <w:t xml:space="preserve"> per cent) over the previous month. The average daily volatility and monthly returns for these select</w:t>
      </w:r>
      <w:r>
        <w:rPr>
          <w:rFonts w:ascii="Palatino Linotype" w:eastAsia="Palatino Linotype" w:hAnsi="Palatino Linotype" w:cs="Palatino Linotype"/>
          <w:sz w:val="22"/>
          <w:szCs w:val="22"/>
        </w:rPr>
        <w:t>ed</w:t>
      </w:r>
      <w:r w:rsidRPr="001D4399">
        <w:rPr>
          <w:rFonts w:ascii="Palatino Linotype" w:eastAsia="Palatino Linotype" w:hAnsi="Palatino Linotype" w:cs="Palatino Linotype"/>
          <w:sz w:val="22"/>
          <w:szCs w:val="22"/>
        </w:rPr>
        <w:t xml:space="preserve"> BSE indices for March 2021 are illustrated in Figure 4.</w:t>
      </w:r>
    </w:p>
    <w:p w:rsidR="001755DE" w:rsidRPr="001D4399" w:rsidRDefault="001755DE" w:rsidP="001755DE">
      <w:pPr>
        <w:spacing w:line="276" w:lineRule="auto"/>
        <w:jc w:val="both"/>
        <w:rPr>
          <w:rFonts w:ascii="Palatino Linotype" w:eastAsia="Palatino Linotype" w:hAnsi="Palatino Linotype" w:cs="Palatino Linotype"/>
          <w:b/>
          <w:sz w:val="22"/>
          <w:szCs w:val="22"/>
        </w:rPr>
      </w:pPr>
    </w:p>
    <w:p w:rsidR="001755DE" w:rsidRPr="001D4399" w:rsidRDefault="001755DE" w:rsidP="001755DE">
      <w:pPr>
        <w:spacing w:line="276" w:lineRule="auto"/>
        <w:jc w:val="cente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Figure 4: Trends of BSE Sectoral Indices during March 2021 (per cent)</w:t>
      </w:r>
    </w:p>
    <w:p w:rsidR="001755DE" w:rsidRPr="001D4399" w:rsidRDefault="001755DE" w:rsidP="001755DE">
      <w:pPr>
        <w:spacing w:line="276" w:lineRule="auto"/>
        <w:jc w:val="center"/>
        <w:rPr>
          <w:rFonts w:ascii="Palatino Linotype" w:eastAsia="Palatino Linotype" w:hAnsi="Palatino Linotype" w:cs="Palatino Linotype"/>
          <w:b/>
          <w:color w:val="2E74B5"/>
          <w:sz w:val="22"/>
          <w:szCs w:val="22"/>
          <w:highlight w:val="yellow"/>
        </w:rPr>
      </w:pPr>
      <w:r w:rsidRPr="00797A8B">
        <w:rPr>
          <w:noProof/>
          <w:lang w:val="en-IN" w:eastAsia="en-IN" w:bidi="hi-IN"/>
        </w:rPr>
        <w:drawing>
          <wp:inline distT="0" distB="0" distL="0" distR="0">
            <wp:extent cx="5913755" cy="2538095"/>
            <wp:effectExtent l="0" t="0" r="10795" b="14605"/>
            <wp:docPr id="43" name="Char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w:t>
      </w:r>
      <w:r w:rsidRPr="00484D1D">
        <w:rPr>
          <w:rFonts w:ascii="Palatino Linotype" w:eastAsia="Palatino Linotype" w:hAnsi="Palatino Linotype" w:cs="Palatino Linotype"/>
          <w:bCs/>
          <w:sz w:val="18"/>
          <w:szCs w:val="18"/>
        </w:rPr>
        <w:t>BSE</w:t>
      </w:r>
    </w:p>
    <w:p w:rsidR="001755DE" w:rsidRPr="001D4399" w:rsidRDefault="001755DE" w:rsidP="001755DE">
      <w:pPr>
        <w:pBdr>
          <w:top w:val="nil"/>
          <w:left w:val="nil"/>
          <w:bottom w:val="nil"/>
          <w:right w:val="nil"/>
          <w:between w:val="nil"/>
        </w:pBdr>
        <w:spacing w:line="276" w:lineRule="auto"/>
        <w:ind w:left="709" w:hanging="720"/>
        <w:rPr>
          <w:rFonts w:ascii="Palatino Linotype" w:eastAsia="Palatino Linotype" w:hAnsi="Palatino Linotype" w:cs="Palatino Linotype"/>
          <w:b/>
          <w:color w:val="2E74B5"/>
          <w:sz w:val="22"/>
          <w:szCs w:val="22"/>
          <w:highlight w:val="yellow"/>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An increase was observed in the</w:t>
      </w:r>
      <w:r w:rsidRPr="001D4399">
        <w:rPr>
          <w:rFonts w:ascii="Palatino Linotype" w:eastAsia="Palatino Linotype" w:hAnsi="Palatino Linotype" w:cs="Palatino Linotype"/>
          <w:sz w:val="22"/>
          <w:szCs w:val="22"/>
        </w:rPr>
        <w:t xml:space="preserve"> select</w:t>
      </w:r>
      <w:r>
        <w:rPr>
          <w:rFonts w:ascii="Palatino Linotype" w:eastAsia="Palatino Linotype" w:hAnsi="Palatino Linotype" w:cs="Palatino Linotype"/>
          <w:sz w:val="22"/>
          <w:szCs w:val="22"/>
        </w:rPr>
        <w:t>ed</w:t>
      </w:r>
      <w:r w:rsidRPr="001D4399">
        <w:rPr>
          <w:rFonts w:ascii="Palatino Linotype" w:eastAsia="Palatino Linotype" w:hAnsi="Palatino Linotype" w:cs="Palatino Linotype"/>
          <w:sz w:val="22"/>
          <w:szCs w:val="22"/>
        </w:rPr>
        <w:t xml:space="preserve"> sectoral indices of the NSE</w:t>
      </w:r>
      <w:r>
        <w:rPr>
          <w:rFonts w:ascii="Palatino Linotype" w:eastAsia="Palatino Linotype" w:hAnsi="Palatino Linotype" w:cs="Palatino Linotype"/>
          <w:sz w:val="22"/>
          <w:szCs w:val="22"/>
        </w:rPr>
        <w:t xml:space="preserve"> during march 2021 viz.</w:t>
      </w:r>
      <w:r w:rsidRPr="001D4399">
        <w:rPr>
          <w:rFonts w:ascii="Palatino Linotype" w:eastAsia="Palatino Linotype" w:hAnsi="Palatino Linotype" w:cs="Palatino Linotype"/>
          <w:sz w:val="22"/>
          <w:szCs w:val="22"/>
        </w:rPr>
        <w:t xml:space="preserve"> Nifty FMCG increased by 7.7 per cent, followed by Nifty IT (6.4 per cent), Nifty Pharma (2.7 per cent) and Nifty Services (0.1 per cent), Nifty Bank (13.9 per cent), Nifty Infrastructure (11.9 per cent) and Nifty Services (6.9 per cent) over the previous month. On the other hands, Nifty FMCG decreased by 2</w:t>
      </w:r>
      <w:r>
        <w:rPr>
          <w:rFonts w:ascii="Palatino Linotype" w:eastAsia="Palatino Linotype" w:hAnsi="Palatino Linotype" w:cs="Palatino Linotype"/>
          <w:sz w:val="22"/>
          <w:szCs w:val="22"/>
        </w:rPr>
        <w:t>.0</w:t>
      </w:r>
      <w:r w:rsidRPr="001D4399">
        <w:rPr>
          <w:rFonts w:ascii="Palatino Linotype" w:eastAsia="Palatino Linotype" w:hAnsi="Palatino Linotype" w:cs="Palatino Linotype"/>
          <w:sz w:val="22"/>
          <w:szCs w:val="22"/>
        </w:rPr>
        <w:t xml:space="preserve"> per cent, followed by Nifty Pharma (2 per cent) and Nifty IT (1.4 per cent).  The average daily volatility and monthly returns of these select NSE indices for February 2021 are illustrated in Figure 5.</w:t>
      </w:r>
    </w:p>
    <w:p w:rsidR="001755DE" w:rsidRPr="001D4399" w:rsidRDefault="001755DE" w:rsidP="001755DE">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1755DE" w:rsidRPr="001D4399" w:rsidRDefault="001755DE" w:rsidP="001755DE">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Figure 5: Trends of NSE Sectoral Indices during February 2021 (per cent)</w:t>
      </w:r>
    </w:p>
    <w:p w:rsidR="001755DE" w:rsidRPr="001D4399" w:rsidRDefault="001755DE" w:rsidP="001755DE">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r w:rsidRPr="00797A8B">
        <w:rPr>
          <w:noProof/>
          <w:lang w:val="en-IN" w:eastAsia="en-IN" w:bidi="hi-IN"/>
        </w:rPr>
        <w:drawing>
          <wp:inline distT="0" distB="0" distL="0" distR="0">
            <wp:extent cx="5562600" cy="2587625"/>
            <wp:effectExtent l="0" t="0" r="0" b="3175"/>
            <wp:docPr id="42" name="Char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w:t>
      </w:r>
      <w:r w:rsidRPr="00484D1D">
        <w:rPr>
          <w:rFonts w:ascii="Palatino Linotype" w:eastAsia="Palatino Linotype" w:hAnsi="Palatino Linotype" w:cs="Palatino Linotype"/>
          <w:bCs/>
          <w:sz w:val="18"/>
          <w:szCs w:val="18"/>
        </w:rPr>
        <w:t>NSE</w:t>
      </w:r>
    </w:p>
    <w:p w:rsidR="001755DE" w:rsidRPr="001D4399" w:rsidRDefault="001755DE" w:rsidP="001755DE">
      <w:pPr>
        <w:pBdr>
          <w:top w:val="nil"/>
          <w:left w:val="nil"/>
          <w:bottom w:val="nil"/>
          <w:right w:val="nil"/>
          <w:between w:val="nil"/>
        </w:pBdr>
        <w:spacing w:line="276" w:lineRule="auto"/>
        <w:rPr>
          <w:rFonts w:ascii="Palatino Linotype" w:eastAsia="Palatino Linotype" w:hAnsi="Palatino Linotype" w:cs="Palatino Linotype"/>
          <w:b/>
          <w:sz w:val="22"/>
          <w:szCs w:val="22"/>
        </w:rPr>
      </w:pPr>
    </w:p>
    <w:p w:rsidR="001755DE" w:rsidRPr="001D4399" w:rsidRDefault="001755DE" w:rsidP="001755DE">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 xml:space="preserve">Trends in Depository Accounts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As at the end of March 2021, there were 217 lakh demat accounts at NSDL and 334 lakh demat accounts at CDSL. Further, till the end of March 2021, 5,681 listed companies signed up with NSDL and 5,749 listed companies signed up with CDSL to make their equity holdings available in dematerialised form.</w:t>
      </w: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rPr>
      </w:pPr>
    </w:p>
    <w:p w:rsidR="001755DE" w:rsidRPr="001D4399" w:rsidRDefault="001755DE" w:rsidP="001755DE">
      <w:pPr>
        <w:spacing w:line="276" w:lineRule="auto"/>
        <w:rPr>
          <w:rFonts w:ascii="Palatino Linotype" w:eastAsia="Palatino Linotype" w:hAnsi="Palatino Linotype" w:cs="Palatino Linotype"/>
          <w:b/>
          <w:color w:val="2E74B5"/>
          <w:sz w:val="22"/>
          <w:szCs w:val="22"/>
          <w:highlight w:val="yellow"/>
        </w:rPr>
      </w:pPr>
    </w:p>
    <w:p w:rsidR="001755DE" w:rsidRPr="001D4399" w:rsidRDefault="001755DE" w:rsidP="001755DE">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Trends in Derivatives Segment</w:t>
      </w:r>
      <w:r w:rsidRPr="001D4399">
        <w:rPr>
          <w:rFonts w:ascii="Palatino Linotype" w:eastAsia="Palatino Linotype" w:hAnsi="Palatino Linotype" w:cs="Palatino Linotype"/>
          <w:b/>
          <w:sz w:val="22"/>
          <w:szCs w:val="22"/>
        </w:rPr>
        <w:tab/>
      </w:r>
    </w:p>
    <w:p w:rsidR="001755DE" w:rsidRPr="001D4399" w:rsidRDefault="001755DE" w:rsidP="001755DE">
      <w:pPr>
        <w:widowControl w:val="0"/>
        <w:spacing w:line="276" w:lineRule="auto"/>
        <w:jc w:val="both"/>
        <w:rPr>
          <w:rFonts w:ascii="Palatino Linotype" w:eastAsia="Palatino Linotype" w:hAnsi="Palatino Linotype" w:cs="Palatino Linotype"/>
          <w:sz w:val="22"/>
          <w:szCs w:val="22"/>
        </w:rPr>
      </w:pPr>
    </w:p>
    <w:p w:rsidR="001755DE" w:rsidRPr="001D4399" w:rsidRDefault="001755DE" w:rsidP="001755DE">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Equity Derivatives</w:t>
      </w:r>
    </w:p>
    <w:p w:rsidR="001755DE" w:rsidRPr="001D4399" w:rsidRDefault="001755DE" w:rsidP="001755DE">
      <w:pPr>
        <w:widowControl w:val="0"/>
        <w:spacing w:line="276" w:lineRule="auto"/>
        <w:jc w:val="both"/>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Table 3: Trends in Equity Derivatives Market</w:t>
      </w:r>
    </w:p>
    <w:tbl>
      <w:tblPr>
        <w:tblW w:w="10002" w:type="dxa"/>
        <w:tblInd w:w="-5" w:type="dxa"/>
        <w:tblLook w:val="04A0" w:firstRow="1" w:lastRow="0" w:firstColumn="1" w:lastColumn="0" w:noHBand="0" w:noVBand="1"/>
      </w:tblPr>
      <w:tblGrid>
        <w:gridCol w:w="2945"/>
        <w:gridCol w:w="1216"/>
        <w:gridCol w:w="1216"/>
        <w:gridCol w:w="1160"/>
        <w:gridCol w:w="1253"/>
        <w:gridCol w:w="1098"/>
        <w:gridCol w:w="1160"/>
      </w:tblGrid>
      <w:tr w:rsidR="001755DE" w:rsidRPr="00797A8B" w:rsidTr="00A91C39">
        <w:trPr>
          <w:trHeight w:val="232"/>
        </w:trPr>
        <w:tc>
          <w:tcPr>
            <w:tcW w:w="2945" w:type="dxa"/>
            <w:vMerge w:val="restart"/>
            <w:tcBorders>
              <w:top w:val="single" w:sz="4" w:space="0" w:color="auto"/>
              <w:left w:val="single" w:sz="4" w:space="0" w:color="auto"/>
              <w:bottom w:val="single" w:sz="4" w:space="0" w:color="auto"/>
              <w:right w:val="single" w:sz="4" w:space="0" w:color="auto"/>
            </w:tcBorders>
            <w:shd w:val="clear" w:color="8DB3E2" w:fill="8DB3E2"/>
            <w:noWrap/>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Description</w:t>
            </w:r>
          </w:p>
        </w:tc>
        <w:tc>
          <w:tcPr>
            <w:tcW w:w="3563"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1755DE" w:rsidRPr="001D4399" w:rsidRDefault="001755DE" w:rsidP="00A91C39">
            <w:pPr>
              <w:jc w:val="cente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NSE</w:t>
            </w:r>
          </w:p>
        </w:tc>
        <w:tc>
          <w:tcPr>
            <w:tcW w:w="3493" w:type="dxa"/>
            <w:gridSpan w:val="3"/>
            <w:tcBorders>
              <w:top w:val="single" w:sz="4" w:space="0" w:color="auto"/>
              <w:left w:val="nil"/>
              <w:bottom w:val="single" w:sz="4" w:space="0" w:color="auto"/>
              <w:right w:val="single" w:sz="4" w:space="0" w:color="auto"/>
            </w:tcBorders>
            <w:shd w:val="clear" w:color="8DB3E2" w:fill="8DB3E2"/>
            <w:noWrap/>
            <w:vAlign w:val="center"/>
            <w:hideMark/>
          </w:tcPr>
          <w:p w:rsidR="001755DE" w:rsidRPr="001D4399" w:rsidRDefault="001755DE" w:rsidP="00A91C39">
            <w:pPr>
              <w:jc w:val="cente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BSE</w:t>
            </w:r>
          </w:p>
        </w:tc>
      </w:tr>
      <w:tr w:rsidR="001755DE" w:rsidRPr="00797A8B" w:rsidTr="00A91C39">
        <w:trPr>
          <w:trHeight w:val="232"/>
        </w:trPr>
        <w:tc>
          <w:tcPr>
            <w:tcW w:w="2945" w:type="dxa"/>
            <w:vMerge/>
            <w:tcBorders>
              <w:top w:val="single" w:sz="4" w:space="0" w:color="auto"/>
              <w:left w:val="single" w:sz="4" w:space="0" w:color="auto"/>
              <w:bottom w:val="single" w:sz="4" w:space="0" w:color="auto"/>
              <w:right w:val="single" w:sz="4" w:space="0" w:color="auto"/>
            </w:tcBorders>
            <w:vAlign w:val="center"/>
            <w:hideMark/>
          </w:tcPr>
          <w:p w:rsidR="001755DE" w:rsidRPr="001D4399" w:rsidRDefault="001755DE" w:rsidP="00A91C39">
            <w:pPr>
              <w:rPr>
                <w:rFonts w:ascii="Garamond" w:eastAsia="Times New Roman" w:hAnsi="Garamond"/>
                <w:b/>
                <w:bCs/>
                <w:sz w:val="20"/>
                <w:szCs w:val="20"/>
                <w:lang w:val="en-IN" w:eastAsia="en-IN" w:bidi="hi-IN"/>
              </w:rPr>
            </w:pPr>
          </w:p>
        </w:tc>
        <w:tc>
          <w:tcPr>
            <w:tcW w:w="1206" w:type="dxa"/>
            <w:tcBorders>
              <w:top w:val="nil"/>
              <w:left w:val="nil"/>
              <w:bottom w:val="single" w:sz="4" w:space="0" w:color="auto"/>
              <w:right w:val="single" w:sz="4" w:space="0" w:color="auto"/>
            </w:tcBorders>
            <w:shd w:val="clear" w:color="8DB3E2" w:fill="8DB3E2"/>
            <w:noWrap/>
            <w:vAlign w:val="center"/>
            <w:hideMark/>
          </w:tcPr>
          <w:p w:rsidR="001755DE" w:rsidRPr="001D4399" w:rsidRDefault="001755DE" w:rsidP="00A91C39">
            <w:pPr>
              <w:jc w:val="cente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Feb-21</w:t>
            </w:r>
          </w:p>
        </w:tc>
        <w:tc>
          <w:tcPr>
            <w:tcW w:w="1206" w:type="dxa"/>
            <w:tcBorders>
              <w:top w:val="nil"/>
              <w:left w:val="nil"/>
              <w:bottom w:val="single" w:sz="4" w:space="0" w:color="auto"/>
              <w:right w:val="single" w:sz="4" w:space="0" w:color="auto"/>
            </w:tcBorders>
            <w:shd w:val="clear" w:color="8DB3E2" w:fill="8DB3E2"/>
            <w:noWrap/>
            <w:vAlign w:val="center"/>
            <w:hideMark/>
          </w:tcPr>
          <w:p w:rsidR="001755DE" w:rsidRPr="001D4399" w:rsidRDefault="001755DE" w:rsidP="00A91C39">
            <w:pPr>
              <w:jc w:val="cente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Mar-21</w:t>
            </w:r>
          </w:p>
        </w:tc>
        <w:tc>
          <w:tcPr>
            <w:tcW w:w="1150" w:type="dxa"/>
            <w:tcBorders>
              <w:top w:val="nil"/>
              <w:left w:val="nil"/>
              <w:bottom w:val="single" w:sz="4" w:space="0" w:color="auto"/>
              <w:right w:val="single" w:sz="4" w:space="0" w:color="auto"/>
            </w:tcBorders>
            <w:shd w:val="clear" w:color="8DB3E2" w:fill="8DB3E2"/>
            <w:vAlign w:val="center"/>
            <w:hideMark/>
          </w:tcPr>
          <w:p w:rsidR="001755DE" w:rsidRPr="001D4399" w:rsidRDefault="001755DE" w:rsidP="00A91C39">
            <w:pPr>
              <w:jc w:val="cente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Percentage Change Over Month</w:t>
            </w:r>
          </w:p>
        </w:tc>
        <w:tc>
          <w:tcPr>
            <w:tcW w:w="1253" w:type="dxa"/>
            <w:tcBorders>
              <w:top w:val="nil"/>
              <w:left w:val="nil"/>
              <w:bottom w:val="single" w:sz="4" w:space="0" w:color="auto"/>
              <w:right w:val="single" w:sz="4" w:space="0" w:color="auto"/>
            </w:tcBorders>
            <w:shd w:val="clear" w:color="8DB3E2" w:fill="8DB3E2"/>
            <w:noWrap/>
            <w:vAlign w:val="center"/>
            <w:hideMark/>
          </w:tcPr>
          <w:p w:rsidR="001755DE" w:rsidRPr="001D4399" w:rsidRDefault="001755DE" w:rsidP="00A91C39">
            <w:pPr>
              <w:jc w:val="cente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Feb-21</w:t>
            </w:r>
          </w:p>
        </w:tc>
        <w:tc>
          <w:tcPr>
            <w:tcW w:w="1090" w:type="dxa"/>
            <w:tcBorders>
              <w:top w:val="nil"/>
              <w:left w:val="nil"/>
              <w:bottom w:val="single" w:sz="4" w:space="0" w:color="auto"/>
              <w:right w:val="single" w:sz="4" w:space="0" w:color="auto"/>
            </w:tcBorders>
            <w:shd w:val="clear" w:color="8DB3E2" w:fill="8DB3E2"/>
            <w:noWrap/>
            <w:vAlign w:val="center"/>
            <w:hideMark/>
          </w:tcPr>
          <w:p w:rsidR="001755DE" w:rsidRPr="001D4399" w:rsidRDefault="001755DE" w:rsidP="00A91C39">
            <w:pPr>
              <w:jc w:val="cente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Mar-21</w:t>
            </w:r>
          </w:p>
        </w:tc>
        <w:tc>
          <w:tcPr>
            <w:tcW w:w="1150" w:type="dxa"/>
            <w:tcBorders>
              <w:top w:val="nil"/>
              <w:left w:val="nil"/>
              <w:bottom w:val="single" w:sz="4" w:space="0" w:color="auto"/>
              <w:right w:val="single" w:sz="4" w:space="0" w:color="auto"/>
            </w:tcBorders>
            <w:shd w:val="clear" w:color="8DB3E2" w:fill="8DB3E2"/>
            <w:vAlign w:val="center"/>
            <w:hideMark/>
          </w:tcPr>
          <w:p w:rsidR="001755DE" w:rsidRPr="001D4399" w:rsidRDefault="001755DE" w:rsidP="00A91C39">
            <w:pPr>
              <w:jc w:val="cente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Percentage Change Over Month</w:t>
            </w:r>
          </w:p>
        </w:tc>
      </w:tr>
      <w:tr w:rsidR="001755DE" w:rsidRPr="00797A8B" w:rsidTr="00A91C39">
        <w:trPr>
          <w:trHeight w:val="232"/>
        </w:trPr>
        <w:tc>
          <w:tcPr>
            <w:tcW w:w="10002"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 xml:space="preserve">A. Turnover  </w:t>
            </w:r>
            <w:r w:rsidRPr="001D4399">
              <w:rPr>
                <w:rFonts w:ascii="Rupee" w:eastAsia="Times New Roman" w:hAnsi="Rupee"/>
                <w:b/>
                <w:bCs/>
                <w:sz w:val="20"/>
                <w:szCs w:val="20"/>
                <w:lang w:val="en-IN" w:eastAsia="en-IN" w:bidi="hi-IN"/>
              </w:rPr>
              <w:t>(</w:t>
            </w:r>
            <w:r w:rsidRPr="001D4399">
              <w:rPr>
                <w:rFonts w:ascii="Rupee Foradian" w:eastAsia="Times New Roman" w:hAnsi="Rupee Foradian"/>
                <w:b/>
                <w:bCs/>
                <w:sz w:val="20"/>
                <w:szCs w:val="20"/>
                <w:lang w:val="en-IN" w:eastAsia="en-IN" w:bidi="hi-IN"/>
              </w:rPr>
              <w:t>`</w:t>
            </w:r>
            <w:r w:rsidRPr="001D4399">
              <w:rPr>
                <w:rFonts w:ascii="Rupee" w:eastAsia="Times New Roman" w:hAnsi="Rupee"/>
                <w:b/>
                <w:bCs/>
                <w:sz w:val="20"/>
                <w:szCs w:val="20"/>
                <w:lang w:val="en-IN" w:eastAsia="en-IN" w:bidi="hi-IN"/>
              </w:rPr>
              <w:t xml:space="preserve"> </w:t>
            </w:r>
            <w:r w:rsidRPr="001D4399">
              <w:rPr>
                <w:rFonts w:ascii="Garamond" w:eastAsia="Times New Roman" w:hAnsi="Garamond"/>
                <w:b/>
                <w:bCs/>
                <w:sz w:val="20"/>
                <w:szCs w:val="20"/>
                <w:lang w:val="en-IN" w:eastAsia="en-IN" w:bidi="hi-IN"/>
              </w:rPr>
              <w:t>crore)</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 Index  Futures</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9,10,712</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9,13,199</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0.3</w:t>
            </w:r>
          </w:p>
        </w:tc>
        <w:tc>
          <w:tcPr>
            <w:tcW w:w="1253" w:type="dxa"/>
            <w:tcBorders>
              <w:top w:val="nil"/>
              <w:left w:val="nil"/>
              <w:bottom w:val="single" w:sz="4" w:space="0" w:color="auto"/>
              <w:right w:val="single" w:sz="4" w:space="0" w:color="auto"/>
            </w:tcBorders>
            <w:shd w:val="clear" w:color="auto" w:fill="auto"/>
            <w:vAlign w:val="center"/>
            <w:hideMark/>
          </w:tcPr>
          <w:p w:rsidR="001755DE" w:rsidRPr="001D4399" w:rsidRDefault="001755DE" w:rsidP="00A91C39">
            <w:pPr>
              <w:jc w:val="right"/>
              <w:rPr>
                <w:rFonts w:ascii="Garamond" w:eastAsia="Times New Roman" w:hAnsi="Garamond"/>
                <w:color w:val="000000"/>
                <w:sz w:val="20"/>
                <w:szCs w:val="20"/>
                <w:lang w:val="en-IN" w:eastAsia="en-IN" w:bidi="hi-IN"/>
              </w:rPr>
            </w:pPr>
            <w:r w:rsidRPr="001D4399">
              <w:rPr>
                <w:rFonts w:ascii="Garamond" w:eastAsia="Times New Roman" w:hAnsi="Garamond"/>
                <w:color w:val="000000"/>
                <w:sz w:val="20"/>
                <w:szCs w:val="20"/>
                <w:lang w:val="en-IN" w:eastAsia="en-IN" w:bidi="hi-IN"/>
              </w:rPr>
              <w:t>185.1</w:t>
            </w:r>
          </w:p>
        </w:tc>
        <w:tc>
          <w:tcPr>
            <w:tcW w:w="1090" w:type="dxa"/>
            <w:tcBorders>
              <w:top w:val="nil"/>
              <w:left w:val="nil"/>
              <w:bottom w:val="single" w:sz="4" w:space="0" w:color="auto"/>
              <w:right w:val="single" w:sz="4" w:space="0" w:color="auto"/>
            </w:tcBorders>
            <w:shd w:val="clear" w:color="auto" w:fill="auto"/>
            <w:vAlign w:val="center"/>
            <w:hideMark/>
          </w:tcPr>
          <w:p w:rsidR="001755DE" w:rsidRPr="001D4399" w:rsidRDefault="001755DE" w:rsidP="00A91C39">
            <w:pPr>
              <w:jc w:val="right"/>
              <w:rPr>
                <w:rFonts w:ascii="Garamond" w:eastAsia="Times New Roman" w:hAnsi="Garamond"/>
                <w:color w:val="000000"/>
                <w:sz w:val="20"/>
                <w:szCs w:val="20"/>
                <w:lang w:val="en-IN" w:eastAsia="en-IN" w:bidi="hi-IN"/>
              </w:rPr>
            </w:pPr>
            <w:r w:rsidRPr="001D4399">
              <w:rPr>
                <w:rFonts w:ascii="Garamond" w:eastAsia="Times New Roman" w:hAnsi="Garamond"/>
                <w:color w:val="000000"/>
                <w:sz w:val="20"/>
                <w:szCs w:val="20"/>
                <w:lang w:val="en-IN" w:eastAsia="en-IN" w:bidi="hi-IN"/>
              </w:rPr>
              <w:t>192.2</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w:t>
            </w:r>
            <w:r>
              <w:rPr>
                <w:rFonts w:ascii="Garamond" w:eastAsia="Times New Roman" w:hAnsi="Garamond"/>
                <w:sz w:val="20"/>
                <w:szCs w:val="20"/>
                <w:lang w:val="en-IN" w:eastAsia="en-IN" w:bidi="hi-IN"/>
              </w:rPr>
              <w:t>.0</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(ii) Options on Index</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Put</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3,87,31,604</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4,17,03,614</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7.7</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22,13,896</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11,94,651</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-46.0</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Call</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4,08,20,341</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4,59,50,550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12.6</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36,23,090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50,17,663</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38.5</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(iii) Stock Futures</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19,92,702</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16,45,278</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-17.4</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(iv) Options on Stock</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Put</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10,12,329</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8,94,005</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-11.7</w:t>
            </w:r>
          </w:p>
        </w:tc>
        <w:tc>
          <w:tcPr>
            <w:tcW w:w="1253" w:type="dxa"/>
            <w:tcBorders>
              <w:top w:val="nil"/>
              <w:left w:val="nil"/>
              <w:bottom w:val="single" w:sz="4" w:space="0" w:color="auto"/>
              <w:right w:val="single" w:sz="4" w:space="0" w:color="auto"/>
            </w:tcBorders>
            <w:shd w:val="clear" w:color="auto" w:fill="auto"/>
            <w:noWrap/>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090" w:type="dxa"/>
            <w:tcBorders>
              <w:top w:val="nil"/>
              <w:left w:val="nil"/>
              <w:bottom w:val="single" w:sz="4" w:space="0" w:color="auto"/>
              <w:right w:val="single" w:sz="4" w:space="0" w:color="auto"/>
            </w:tcBorders>
            <w:shd w:val="clear" w:color="auto" w:fill="auto"/>
            <w:noWrap/>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Call</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25,54,280</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20,98,229</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-17.9</w:t>
            </w:r>
          </w:p>
        </w:tc>
        <w:tc>
          <w:tcPr>
            <w:tcW w:w="1253" w:type="dxa"/>
            <w:tcBorders>
              <w:top w:val="nil"/>
              <w:left w:val="nil"/>
              <w:bottom w:val="single" w:sz="4" w:space="0" w:color="auto"/>
              <w:right w:val="single" w:sz="4" w:space="0" w:color="auto"/>
            </w:tcBorders>
            <w:shd w:val="clear" w:color="auto" w:fill="auto"/>
            <w:noWrap/>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090" w:type="dxa"/>
            <w:tcBorders>
              <w:top w:val="nil"/>
              <w:left w:val="nil"/>
              <w:bottom w:val="single" w:sz="4" w:space="0" w:color="auto"/>
              <w:right w:val="single" w:sz="4" w:space="0" w:color="auto"/>
            </w:tcBorders>
            <w:shd w:val="clear" w:color="auto" w:fill="auto"/>
            <w:noWrap/>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0.1</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 xml:space="preserve">         Total</w:t>
            </w:r>
          </w:p>
        </w:tc>
        <w:tc>
          <w:tcPr>
            <w:tcW w:w="1206"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8,60,21,969</w:t>
            </w:r>
          </w:p>
        </w:tc>
        <w:tc>
          <w:tcPr>
            <w:tcW w:w="1206"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9,32,04,875</w:t>
            </w:r>
          </w:p>
        </w:tc>
        <w:tc>
          <w:tcPr>
            <w:tcW w:w="115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8.4</w:t>
            </w:r>
          </w:p>
        </w:tc>
        <w:tc>
          <w:tcPr>
            <w:tcW w:w="1253"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58,37,172</w:t>
            </w:r>
          </w:p>
        </w:tc>
        <w:tc>
          <w:tcPr>
            <w:tcW w:w="109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62,12,506</w:t>
            </w:r>
          </w:p>
        </w:tc>
        <w:tc>
          <w:tcPr>
            <w:tcW w:w="115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6.4</w:t>
            </w:r>
          </w:p>
        </w:tc>
      </w:tr>
      <w:tr w:rsidR="001755DE" w:rsidRPr="00797A8B" w:rsidTr="00A91C39">
        <w:trPr>
          <w:trHeight w:val="232"/>
        </w:trPr>
        <w:tc>
          <w:tcPr>
            <w:tcW w:w="10002"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 xml:space="preserve">B. No. of Contracts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 Index  Futures</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92,83,472</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93,55,799</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0.8</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color w:val="000000"/>
                <w:sz w:val="20"/>
                <w:szCs w:val="20"/>
                <w:lang w:val="en-IN" w:eastAsia="en-IN" w:bidi="hi-IN"/>
              </w:rPr>
            </w:pPr>
            <w:r w:rsidRPr="001D4399">
              <w:rPr>
                <w:rFonts w:ascii="Garamond" w:eastAsia="Times New Roman" w:hAnsi="Garamond"/>
                <w:color w:val="000000"/>
                <w:sz w:val="20"/>
                <w:szCs w:val="20"/>
                <w:lang w:val="en-IN" w:eastAsia="en-IN" w:bidi="hi-IN"/>
              </w:rPr>
              <w:t>1,584</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color w:val="000000"/>
                <w:sz w:val="20"/>
                <w:szCs w:val="20"/>
                <w:lang w:val="en-IN" w:eastAsia="en-IN" w:bidi="hi-IN"/>
              </w:rPr>
            </w:pPr>
            <w:r w:rsidRPr="001D4399">
              <w:rPr>
                <w:rFonts w:ascii="Garamond" w:eastAsia="Times New Roman" w:hAnsi="Garamond"/>
                <w:color w:val="000000"/>
                <w:sz w:val="20"/>
                <w:szCs w:val="20"/>
                <w:lang w:val="en-IN" w:eastAsia="en-IN" w:bidi="hi-IN"/>
              </w:rPr>
              <w:t>1,647</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color w:val="000000"/>
                <w:sz w:val="20"/>
                <w:szCs w:val="20"/>
                <w:lang w:val="en-IN" w:eastAsia="en-IN" w:bidi="hi-IN"/>
              </w:rPr>
            </w:pPr>
            <w:r w:rsidRPr="001D4399">
              <w:rPr>
                <w:rFonts w:ascii="Garamond" w:eastAsia="Times New Roman" w:hAnsi="Garamond"/>
                <w:color w:val="000000"/>
                <w:sz w:val="20"/>
                <w:szCs w:val="20"/>
                <w:lang w:val="en-IN" w:eastAsia="en-IN" w:bidi="hi-IN"/>
              </w:rPr>
              <w:t>4.0</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(ii) Options on Index</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Put</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40,66,42,884</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44,08,36,879</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8.4</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2,15,02,094</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1,16,40,591</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-45.9</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Call</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41,14,68,038</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46,68,50,734</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13.5</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2,90,51,112</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4,00,23,823</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37.8</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(iii) Stock Futures</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2,18,47,715</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1,79,94,476</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-17.6</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(iv) Options on Stock</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Put</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1,15,03,320</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1,00,49,090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-12.6</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Call</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2,67,87,248</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2,18,01,394</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-18.6</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 xml:space="preserve">         Total</w:t>
            </w:r>
          </w:p>
        </w:tc>
        <w:tc>
          <w:tcPr>
            <w:tcW w:w="1206"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88,75,32,677</w:t>
            </w:r>
          </w:p>
        </w:tc>
        <w:tc>
          <w:tcPr>
            <w:tcW w:w="1206"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96,68,88,372</w:t>
            </w:r>
          </w:p>
        </w:tc>
        <w:tc>
          <w:tcPr>
            <w:tcW w:w="115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8.9</w:t>
            </w:r>
          </w:p>
        </w:tc>
        <w:tc>
          <w:tcPr>
            <w:tcW w:w="1253"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5,05,54,790</w:t>
            </w:r>
          </w:p>
        </w:tc>
        <w:tc>
          <w:tcPr>
            <w:tcW w:w="109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5,16,66,061</w:t>
            </w:r>
          </w:p>
        </w:tc>
        <w:tc>
          <w:tcPr>
            <w:tcW w:w="115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2.2</w:t>
            </w:r>
          </w:p>
        </w:tc>
      </w:tr>
      <w:tr w:rsidR="001755DE" w:rsidRPr="00797A8B" w:rsidTr="00A91C39">
        <w:trPr>
          <w:trHeight w:val="232"/>
        </w:trPr>
        <w:tc>
          <w:tcPr>
            <w:tcW w:w="10002"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 xml:space="preserve">C.  Open Interest in Terms of Value ( </w:t>
            </w:r>
            <w:r w:rsidRPr="001D4399">
              <w:rPr>
                <w:rFonts w:ascii="Rupee Foradian" w:eastAsia="Times New Roman" w:hAnsi="Rupee Foradian"/>
                <w:b/>
                <w:bCs/>
                <w:sz w:val="20"/>
                <w:szCs w:val="20"/>
                <w:lang w:val="en-IN" w:eastAsia="en-IN" w:bidi="hi-IN"/>
              </w:rPr>
              <w:t>`</w:t>
            </w:r>
            <w:r w:rsidRPr="001D4399">
              <w:rPr>
                <w:rFonts w:ascii="Garamond" w:eastAsia="Times New Roman" w:hAnsi="Garamond"/>
                <w:b/>
                <w:bCs/>
                <w:sz w:val="20"/>
                <w:szCs w:val="20"/>
                <w:lang w:val="en-IN" w:eastAsia="en-IN" w:bidi="hi-IN"/>
              </w:rPr>
              <w:t xml:space="preserve"> crore)</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 Index  Futures</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24,452</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29,484</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20.6</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8</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6</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-24.4</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(ii) Options on Index</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Put</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1,16,168</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1,76,397</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51.8</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136</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1,116.0</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Call</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1,43,169</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1,76,840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23.5</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9</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77</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714.1</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(iii) Stock Futures</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1,35,935</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1,39,002</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2.3</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(iv) Options on Stock</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Put</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21,715</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23,244</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7.0</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w:t>
            </w:r>
            <w:r>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Call</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39,015</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35,547</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-8.9</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w:t>
            </w:r>
            <w:r>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0.0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 xml:space="preserve">         Total</w:t>
            </w:r>
          </w:p>
        </w:tc>
        <w:tc>
          <w:tcPr>
            <w:tcW w:w="1206"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4,80,454</w:t>
            </w:r>
          </w:p>
        </w:tc>
        <w:tc>
          <w:tcPr>
            <w:tcW w:w="1206"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5,80,514</w:t>
            </w:r>
          </w:p>
        </w:tc>
        <w:tc>
          <w:tcPr>
            <w:tcW w:w="115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20.8</w:t>
            </w:r>
          </w:p>
        </w:tc>
        <w:tc>
          <w:tcPr>
            <w:tcW w:w="1253"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28.3</w:t>
            </w:r>
          </w:p>
        </w:tc>
        <w:tc>
          <w:tcPr>
            <w:tcW w:w="109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218.5</w:t>
            </w:r>
          </w:p>
        </w:tc>
        <w:tc>
          <w:tcPr>
            <w:tcW w:w="115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673.4</w:t>
            </w:r>
          </w:p>
        </w:tc>
      </w:tr>
      <w:tr w:rsidR="001755DE" w:rsidRPr="00797A8B" w:rsidTr="00A91C39">
        <w:trPr>
          <w:trHeight w:val="232"/>
        </w:trPr>
        <w:tc>
          <w:tcPr>
            <w:tcW w:w="10002" w:type="dxa"/>
            <w:gridSpan w:val="7"/>
            <w:tcBorders>
              <w:top w:val="single" w:sz="4" w:space="0" w:color="auto"/>
              <w:left w:val="single" w:sz="4" w:space="0" w:color="auto"/>
              <w:bottom w:val="single" w:sz="4" w:space="0" w:color="auto"/>
              <w:right w:val="single" w:sz="4" w:space="0" w:color="auto"/>
            </w:tcBorders>
            <w:shd w:val="clear" w:color="FFFFCC" w:fill="FFFFCC"/>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D.  Open Interest in Terms of No of Contracts</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 Index  Futures</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2,40,606</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2,99,736</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24.6</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67</w:t>
            </w:r>
            <w:r>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50</w:t>
            </w:r>
            <w:r>
              <w:rPr>
                <w:rFonts w:ascii="Garamond" w:eastAsia="Times New Roman" w:hAnsi="Garamond"/>
                <w:sz w:val="20"/>
                <w:szCs w:val="20"/>
                <w:lang w:val="en-IN" w:eastAsia="en-IN" w:bidi="hi-IN"/>
              </w:rPr>
              <w:t>.0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-25.4</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(ii) Options on Index</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Put</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11,28,309</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17,35,961</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53.9</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98</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1,177</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1,101.0</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Call</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14,23,192</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17,74,298</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24.7</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83</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668</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704.8</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xml:space="preserve">  (iii) Stock Futures</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15,91,763</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16,07,255</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1.0</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(iv) Options on Stock</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 </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Put</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2,55,440</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2,69,673</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5.6</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i/>
                <w:iCs/>
                <w:sz w:val="20"/>
                <w:szCs w:val="20"/>
                <w:lang w:val="en-IN" w:eastAsia="en-IN" w:bidi="hi-IN"/>
              </w:rPr>
            </w:pPr>
            <w:r w:rsidRPr="001D4399">
              <w:rPr>
                <w:rFonts w:ascii="Garamond" w:eastAsia="Times New Roman" w:hAnsi="Garamond"/>
                <w:i/>
                <w:iCs/>
                <w:sz w:val="20"/>
                <w:szCs w:val="20"/>
                <w:lang w:val="en-IN" w:eastAsia="en-IN" w:bidi="hi-IN"/>
              </w:rPr>
              <w:t xml:space="preserve">          Call</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4,62,866</w:t>
            </w:r>
          </w:p>
        </w:tc>
        <w:tc>
          <w:tcPr>
            <w:tcW w:w="1206"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4,20,028</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-9.3</w:t>
            </w:r>
          </w:p>
        </w:tc>
        <w:tc>
          <w:tcPr>
            <w:tcW w:w="1253"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0</w:t>
            </w:r>
          </w:p>
        </w:tc>
        <w:tc>
          <w:tcPr>
            <w:tcW w:w="1090" w:type="dxa"/>
            <w:tcBorders>
              <w:top w:val="nil"/>
              <w:left w:val="nil"/>
              <w:bottom w:val="single" w:sz="4" w:space="0" w:color="auto"/>
              <w:right w:val="single" w:sz="4" w:space="0" w:color="auto"/>
            </w:tcBorders>
            <w:shd w:val="clear" w:color="auto" w:fill="auto"/>
            <w:noWrap/>
            <w:vAlign w:val="center"/>
            <w:hideMark/>
          </w:tcPr>
          <w:p w:rsidR="001755DE" w:rsidRPr="00484D1D" w:rsidRDefault="001755DE" w:rsidP="00A91C39">
            <w:pPr>
              <w:jc w:val="right"/>
              <w:rPr>
                <w:rFonts w:ascii="Garamond" w:eastAsia="Times New Roman" w:hAnsi="Garamond"/>
                <w:sz w:val="20"/>
                <w:szCs w:val="20"/>
                <w:lang w:val="en-IN" w:eastAsia="en-IN" w:bidi="hi-IN"/>
              </w:rPr>
            </w:pPr>
            <w:r w:rsidRPr="00484D1D">
              <w:rPr>
                <w:rFonts w:ascii="Garamond" w:eastAsia="Times New Roman" w:hAnsi="Garamond"/>
                <w:sz w:val="20"/>
                <w:szCs w:val="20"/>
                <w:lang w:val="en-IN" w:eastAsia="en-IN" w:bidi="hi-IN"/>
              </w:rPr>
              <w:t>0</w:t>
            </w:r>
          </w:p>
        </w:tc>
        <w:tc>
          <w:tcPr>
            <w:tcW w:w="1150" w:type="dxa"/>
            <w:tcBorders>
              <w:top w:val="nil"/>
              <w:left w:val="nil"/>
              <w:bottom w:val="single" w:sz="4" w:space="0" w:color="auto"/>
              <w:right w:val="single" w:sz="4" w:space="0" w:color="auto"/>
            </w:tcBorders>
            <w:shd w:val="clear" w:color="auto" w:fill="auto"/>
            <w:noWrap/>
            <w:vAlign w:val="center"/>
            <w:hideMark/>
          </w:tcPr>
          <w:p w:rsidR="001755DE" w:rsidRPr="001D4399" w:rsidRDefault="001755DE" w:rsidP="00A91C39">
            <w:pPr>
              <w:jc w:val="right"/>
              <w:rPr>
                <w:rFonts w:ascii="Garamond" w:eastAsia="Times New Roman" w:hAnsi="Garamond"/>
                <w:sz w:val="20"/>
                <w:szCs w:val="20"/>
                <w:lang w:val="en-IN" w:eastAsia="en-IN" w:bidi="hi-IN"/>
              </w:rPr>
            </w:pPr>
            <w:r w:rsidRPr="001D4399">
              <w:rPr>
                <w:rFonts w:ascii="Garamond" w:eastAsia="Times New Roman" w:hAnsi="Garamond"/>
                <w:sz w:val="20"/>
                <w:szCs w:val="20"/>
                <w:lang w:val="en-IN" w:eastAsia="en-IN" w:bidi="hi-IN"/>
              </w:rPr>
              <w:t>NA</w:t>
            </w:r>
          </w:p>
        </w:tc>
      </w:tr>
      <w:tr w:rsidR="001755DE" w:rsidRPr="00797A8B" w:rsidTr="00A91C39">
        <w:trPr>
          <w:trHeight w:val="232"/>
        </w:trPr>
        <w:tc>
          <w:tcPr>
            <w:tcW w:w="2945" w:type="dxa"/>
            <w:tcBorders>
              <w:top w:val="nil"/>
              <w:left w:val="single" w:sz="4" w:space="0" w:color="auto"/>
              <w:bottom w:val="single" w:sz="4" w:space="0" w:color="auto"/>
              <w:right w:val="single" w:sz="4" w:space="0" w:color="auto"/>
            </w:tcBorders>
            <w:shd w:val="clear" w:color="C6D9F0" w:fill="C6D9F0"/>
            <w:noWrap/>
            <w:vAlign w:val="center"/>
            <w:hideMark/>
          </w:tcPr>
          <w:p w:rsidR="001755DE" w:rsidRPr="001D4399" w:rsidRDefault="001755DE" w:rsidP="00A91C39">
            <w:pPr>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 xml:space="preserve">         Total</w:t>
            </w:r>
          </w:p>
        </w:tc>
        <w:tc>
          <w:tcPr>
            <w:tcW w:w="1206"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51,02,176</w:t>
            </w:r>
          </w:p>
        </w:tc>
        <w:tc>
          <w:tcPr>
            <w:tcW w:w="1206"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61,06,951</w:t>
            </w:r>
          </w:p>
        </w:tc>
        <w:tc>
          <w:tcPr>
            <w:tcW w:w="115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19.7</w:t>
            </w:r>
          </w:p>
        </w:tc>
        <w:tc>
          <w:tcPr>
            <w:tcW w:w="1253" w:type="dxa"/>
            <w:tcBorders>
              <w:top w:val="nil"/>
              <w:left w:val="nil"/>
              <w:bottom w:val="single" w:sz="4" w:space="0" w:color="auto"/>
              <w:right w:val="single" w:sz="4" w:space="0" w:color="auto"/>
            </w:tcBorders>
            <w:shd w:val="clear" w:color="auto" w:fill="BDD6EE" w:themeFill="accent1" w:themeFillTint="66"/>
            <w:noWrap/>
            <w:vAlign w:val="center"/>
            <w:hideMark/>
          </w:tcPr>
          <w:p w:rsidR="001755DE" w:rsidRPr="00484D1D" w:rsidRDefault="001755DE" w:rsidP="00A91C39">
            <w:pPr>
              <w:jc w:val="right"/>
              <w:rPr>
                <w:rFonts w:ascii="Garamond" w:eastAsia="Times New Roman" w:hAnsi="Garamond"/>
                <w:b/>
                <w:bCs/>
                <w:sz w:val="20"/>
                <w:szCs w:val="20"/>
                <w:lang w:val="en-IN" w:eastAsia="en-IN" w:bidi="hi-IN"/>
              </w:rPr>
            </w:pPr>
            <w:r w:rsidRPr="00484D1D">
              <w:rPr>
                <w:rFonts w:ascii="Garamond" w:eastAsia="Times New Roman" w:hAnsi="Garamond"/>
                <w:b/>
                <w:bCs/>
                <w:sz w:val="20"/>
                <w:szCs w:val="20"/>
                <w:lang w:val="en-IN" w:eastAsia="en-IN" w:bidi="hi-IN"/>
              </w:rPr>
              <w:t>248</w:t>
            </w:r>
          </w:p>
        </w:tc>
        <w:tc>
          <w:tcPr>
            <w:tcW w:w="1090" w:type="dxa"/>
            <w:tcBorders>
              <w:top w:val="nil"/>
              <w:left w:val="nil"/>
              <w:bottom w:val="single" w:sz="4" w:space="0" w:color="auto"/>
              <w:right w:val="single" w:sz="4" w:space="0" w:color="auto"/>
            </w:tcBorders>
            <w:shd w:val="clear" w:color="auto" w:fill="BDD6EE" w:themeFill="accent1" w:themeFillTint="66"/>
            <w:noWrap/>
            <w:vAlign w:val="center"/>
            <w:hideMark/>
          </w:tcPr>
          <w:p w:rsidR="001755DE" w:rsidRPr="00484D1D" w:rsidRDefault="001755DE" w:rsidP="00A91C39">
            <w:pPr>
              <w:jc w:val="right"/>
              <w:rPr>
                <w:rFonts w:ascii="Garamond" w:eastAsia="Times New Roman" w:hAnsi="Garamond"/>
                <w:b/>
                <w:bCs/>
                <w:sz w:val="20"/>
                <w:szCs w:val="20"/>
                <w:lang w:val="en-IN" w:eastAsia="en-IN" w:bidi="hi-IN"/>
              </w:rPr>
            </w:pPr>
            <w:r w:rsidRPr="00484D1D">
              <w:rPr>
                <w:rFonts w:ascii="Garamond" w:eastAsia="Times New Roman" w:hAnsi="Garamond"/>
                <w:b/>
                <w:bCs/>
                <w:sz w:val="20"/>
                <w:szCs w:val="20"/>
                <w:lang w:val="en-IN" w:eastAsia="en-IN" w:bidi="hi-IN"/>
              </w:rPr>
              <w:t>1,895</w:t>
            </w:r>
          </w:p>
        </w:tc>
        <w:tc>
          <w:tcPr>
            <w:tcW w:w="1150" w:type="dxa"/>
            <w:tcBorders>
              <w:top w:val="nil"/>
              <w:left w:val="nil"/>
              <w:bottom w:val="single" w:sz="4" w:space="0" w:color="auto"/>
              <w:right w:val="single" w:sz="4" w:space="0" w:color="auto"/>
            </w:tcBorders>
            <w:shd w:val="clear" w:color="C6D9F0" w:fill="C6D9F0"/>
            <w:noWrap/>
            <w:vAlign w:val="center"/>
            <w:hideMark/>
          </w:tcPr>
          <w:p w:rsidR="001755DE" w:rsidRPr="001D4399" w:rsidRDefault="001755DE" w:rsidP="00A91C39">
            <w:pPr>
              <w:jc w:val="right"/>
              <w:rPr>
                <w:rFonts w:ascii="Garamond" w:eastAsia="Times New Roman" w:hAnsi="Garamond"/>
                <w:b/>
                <w:bCs/>
                <w:sz w:val="20"/>
                <w:szCs w:val="20"/>
                <w:lang w:val="en-IN" w:eastAsia="en-IN" w:bidi="hi-IN"/>
              </w:rPr>
            </w:pPr>
            <w:r w:rsidRPr="001D4399">
              <w:rPr>
                <w:rFonts w:ascii="Garamond" w:eastAsia="Times New Roman" w:hAnsi="Garamond"/>
                <w:b/>
                <w:bCs/>
                <w:sz w:val="20"/>
                <w:szCs w:val="20"/>
                <w:lang w:val="en-IN" w:eastAsia="en-IN" w:bidi="hi-IN"/>
              </w:rPr>
              <w:t>664.1</w:t>
            </w:r>
          </w:p>
        </w:tc>
      </w:tr>
    </w:tbl>
    <w:p w:rsidR="001755DE" w:rsidRPr="001D4399" w:rsidRDefault="001755DE" w:rsidP="001755DE">
      <w:pPr>
        <w:tabs>
          <w:tab w:val="left" w:pos="3135"/>
        </w:tabs>
        <w:spacing w:line="276" w:lineRule="auto"/>
        <w:rPr>
          <w:rFonts w:ascii="Palatino Linotype" w:eastAsia="Palatino Linotype" w:hAnsi="Palatino Linotype" w:cs="Palatino Linotype"/>
          <w:b/>
          <w:sz w:val="18"/>
          <w:szCs w:val="18"/>
        </w:rPr>
      </w:pPr>
    </w:p>
    <w:p w:rsidR="001755DE" w:rsidRPr="001D4399" w:rsidRDefault="001755DE" w:rsidP="001755DE">
      <w:pPr>
        <w:tabs>
          <w:tab w:val="left" w:pos="3135"/>
        </w:tabs>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Source: </w:t>
      </w:r>
      <w:r w:rsidRPr="00484D1D">
        <w:rPr>
          <w:rFonts w:ascii="Palatino Linotype" w:eastAsia="Palatino Linotype" w:hAnsi="Palatino Linotype" w:cs="Palatino Linotype"/>
          <w:bCs/>
          <w:sz w:val="18"/>
          <w:szCs w:val="18"/>
        </w:rPr>
        <w:t>NSE and BSE</w:t>
      </w:r>
    </w:p>
    <w:p w:rsidR="001755DE" w:rsidRPr="001D4399" w:rsidRDefault="001755DE" w:rsidP="001755DE">
      <w:pPr>
        <w:tabs>
          <w:tab w:val="left" w:pos="3135"/>
        </w:tabs>
        <w:spacing w:line="276" w:lineRule="auto"/>
        <w:rPr>
          <w:rFonts w:ascii="Palatino Linotype" w:eastAsia="Palatino Linotype" w:hAnsi="Palatino Linotype" w:cs="Palatino Linotype"/>
          <w:b/>
          <w:color w:val="2E74B5"/>
          <w:sz w:val="22"/>
          <w:szCs w:val="22"/>
          <w:highlight w:val="yellow"/>
        </w:rPr>
      </w:pPr>
    </w:p>
    <w:p w:rsidR="001755DE" w:rsidRPr="001D4399" w:rsidRDefault="001755DE" w:rsidP="001755DE">
      <w:pPr>
        <w:tabs>
          <w:tab w:val="left" w:pos="3135"/>
        </w:tabs>
        <w:spacing w:line="276" w:lineRule="auto"/>
        <w:rPr>
          <w:rFonts w:ascii="Palatino Linotype" w:eastAsia="Palatino Linotype" w:hAnsi="Palatino Linotype" w:cs="Palatino Linotype"/>
          <w:b/>
          <w:sz w:val="22"/>
          <w:szCs w:val="22"/>
          <w:u w:val="single"/>
        </w:rPr>
      </w:pPr>
      <w:r w:rsidRPr="001D4399">
        <w:rPr>
          <w:rFonts w:ascii="Palatino Linotype" w:eastAsia="Palatino Linotype" w:hAnsi="Palatino Linotype" w:cs="Palatino Linotype"/>
          <w:b/>
          <w:sz w:val="22"/>
          <w:szCs w:val="22"/>
          <w:u w:val="single"/>
        </w:rPr>
        <w:t xml:space="preserve">BSE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During March 2021, the notional turnover of the equity derivatives segment at BSE increased by 6.4 per cent to </w:t>
      </w:r>
      <w:r w:rsidRPr="001D4399">
        <w:rPr>
          <w:rFonts w:ascii="Tahoma" w:eastAsia="Palatino Linotype" w:hAnsi="Tahoma" w:cs="Tahoma"/>
          <w:sz w:val="22"/>
          <w:szCs w:val="22"/>
        </w:rPr>
        <w:t>₹</w:t>
      </w:r>
      <w:r w:rsidRPr="001D4399">
        <w:rPr>
          <w:rFonts w:ascii="Palatino Linotype" w:eastAsia="Palatino Linotype" w:hAnsi="Palatino Linotype" w:cs="Tahoma"/>
          <w:sz w:val="22"/>
          <w:szCs w:val="22"/>
        </w:rPr>
        <w:t xml:space="preserve"> </w:t>
      </w:r>
      <w:r w:rsidRPr="001D4399">
        <w:rPr>
          <w:rFonts w:ascii="Palatino Linotype" w:eastAsia="Palatino Linotype" w:hAnsi="Palatino Linotype" w:cs="Palatino Linotype"/>
          <w:sz w:val="22"/>
          <w:szCs w:val="22"/>
        </w:rPr>
        <w:t xml:space="preserve">62.1 lakh crore </w:t>
      </w:r>
      <w:r>
        <w:rPr>
          <w:rFonts w:ascii="Palatino Linotype" w:eastAsia="Palatino Linotype" w:hAnsi="Palatino Linotype" w:cs="Palatino Linotype"/>
          <w:sz w:val="22"/>
          <w:szCs w:val="22"/>
        </w:rPr>
        <w:t xml:space="preserve">as </w:t>
      </w:r>
      <w:r w:rsidRPr="001D4399">
        <w:rPr>
          <w:rFonts w:ascii="Palatino Linotype" w:eastAsia="Palatino Linotype" w:hAnsi="Palatino Linotype" w:cs="Palatino Linotype"/>
          <w:sz w:val="22"/>
          <w:szCs w:val="22"/>
        </w:rPr>
        <w:t xml:space="preserve">compared to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58.4 lakh crore in </w:t>
      </w:r>
      <w:r w:rsidRPr="001D4399">
        <w:rPr>
          <w:rFonts w:ascii="Palatino Linotype" w:eastAsia="Tahoma" w:hAnsi="Palatino Linotype"/>
          <w:sz w:val="22"/>
          <w:szCs w:val="22"/>
        </w:rPr>
        <w:t>February 2021</w:t>
      </w:r>
      <w:r w:rsidRPr="001D4399">
        <w:rPr>
          <w:rFonts w:ascii="Palatino Linotype" w:eastAsia="Palatino Linotype" w:hAnsi="Palatino Linotype" w:cs="Palatino Linotype"/>
          <w:sz w:val="22"/>
          <w:szCs w:val="22"/>
        </w:rPr>
        <w:t xml:space="preserve">.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1D4399">
        <w:rPr>
          <w:rFonts w:ascii="Palatino Linotype" w:eastAsia="Palatino Linotype" w:hAnsi="Palatino Linotype" w:cs="Palatino Linotype"/>
          <w:sz w:val="22"/>
          <w:szCs w:val="22"/>
        </w:rPr>
        <w:t>As at</w:t>
      </w:r>
      <w:r w:rsidRPr="001D4399">
        <w:rPr>
          <w:rFonts w:ascii="Palatino Linotype" w:eastAsia="Tahoma" w:hAnsi="Palatino Linotype"/>
          <w:sz w:val="22"/>
          <w:szCs w:val="22"/>
        </w:rPr>
        <w:t xml:space="preserve"> the end of March 2021,  open interest in terms of value at BSE stood at </w:t>
      </w:r>
      <w:r w:rsidRPr="001D4399">
        <w:rPr>
          <w:rFonts w:ascii="Tahoma" w:eastAsia="Tahoma" w:hAnsi="Tahoma" w:cs="Tahoma"/>
          <w:sz w:val="22"/>
          <w:szCs w:val="22"/>
        </w:rPr>
        <w:t>₹</w:t>
      </w:r>
      <w:r w:rsidRPr="001D4399">
        <w:rPr>
          <w:rFonts w:ascii="Palatino Linotype" w:eastAsia="Tahoma" w:hAnsi="Palatino Linotype"/>
          <w:sz w:val="22"/>
          <w:szCs w:val="22"/>
        </w:rPr>
        <w:t xml:space="preserve"> 218.5 crore </w:t>
      </w:r>
      <w:r>
        <w:rPr>
          <w:rFonts w:ascii="Palatino Linotype" w:eastAsia="Tahoma" w:hAnsi="Palatino Linotype"/>
          <w:sz w:val="22"/>
          <w:szCs w:val="22"/>
        </w:rPr>
        <w:t xml:space="preserve">as </w:t>
      </w:r>
      <w:r w:rsidRPr="001D4399">
        <w:rPr>
          <w:rFonts w:ascii="Palatino Linotype" w:eastAsia="Tahoma" w:hAnsi="Palatino Linotype"/>
          <w:sz w:val="22"/>
          <w:szCs w:val="22"/>
        </w:rPr>
        <w:t xml:space="preserve">compared to </w:t>
      </w:r>
      <w:r w:rsidRPr="001D4399">
        <w:rPr>
          <w:rFonts w:ascii="Tahoma" w:eastAsia="Tahoma" w:hAnsi="Tahoma" w:cs="Tahoma"/>
          <w:sz w:val="22"/>
          <w:szCs w:val="22"/>
        </w:rPr>
        <w:t>₹</w:t>
      </w:r>
      <w:r w:rsidRPr="001D4399">
        <w:rPr>
          <w:rFonts w:ascii="Palatino Linotype" w:eastAsia="Tahoma" w:hAnsi="Palatino Linotype"/>
          <w:sz w:val="22"/>
          <w:szCs w:val="22"/>
        </w:rPr>
        <w:t xml:space="preserve"> 28.3 crore as at the end of February 2021.</w:t>
      </w: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color w:val="2E74B5"/>
          <w:sz w:val="22"/>
          <w:szCs w:val="22"/>
        </w:rPr>
      </w:pPr>
    </w:p>
    <w:p w:rsidR="001755DE" w:rsidRPr="001D4399" w:rsidRDefault="001755DE" w:rsidP="001755DE">
      <w:pPr>
        <w:tabs>
          <w:tab w:val="left" w:pos="3135"/>
        </w:tabs>
        <w:spacing w:line="276" w:lineRule="auto"/>
        <w:rPr>
          <w:rFonts w:ascii="Palatino Linotype" w:eastAsia="Palatino Linotype" w:hAnsi="Palatino Linotype" w:cs="Palatino Linotype"/>
          <w:b/>
          <w:sz w:val="22"/>
          <w:szCs w:val="22"/>
          <w:u w:val="single"/>
        </w:rPr>
      </w:pPr>
      <w:r w:rsidRPr="001D4399">
        <w:rPr>
          <w:rFonts w:ascii="Palatino Linotype" w:eastAsia="Palatino Linotype" w:hAnsi="Palatino Linotype" w:cs="Palatino Linotype"/>
          <w:b/>
          <w:sz w:val="22"/>
          <w:szCs w:val="22"/>
          <w:u w:val="single"/>
        </w:rPr>
        <w:t xml:space="preserve">NSE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1D4399">
        <w:rPr>
          <w:rFonts w:ascii="Palatino Linotype" w:eastAsia="Palatino Linotype" w:hAnsi="Palatino Linotype" w:cs="Palatino Linotype"/>
          <w:sz w:val="22"/>
          <w:szCs w:val="22"/>
        </w:rPr>
        <w:t xml:space="preserve">The monthly notional turnover in the equity derivatives segment at NSE increased by 8.4 per cent to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932 lakh crore in February 2021 from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860.2 lakh crore in February 2021.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Tahoma" w:hAnsi="Palatino Linotype"/>
          <w:sz w:val="22"/>
          <w:szCs w:val="22"/>
        </w:rPr>
      </w:pPr>
      <w:r w:rsidRPr="001D4399">
        <w:rPr>
          <w:rFonts w:ascii="Palatino Linotype" w:eastAsia="Palatino Linotype" w:hAnsi="Palatino Linotype" w:cs="Palatino Linotype"/>
          <w:sz w:val="22"/>
          <w:szCs w:val="22"/>
        </w:rPr>
        <w:t xml:space="preserve">During the above period, </w:t>
      </w:r>
    </w:p>
    <w:p w:rsidR="001755DE" w:rsidRPr="001D4399" w:rsidRDefault="001755DE" w:rsidP="001755DE">
      <w:pPr>
        <w:pBdr>
          <w:top w:val="nil"/>
          <w:left w:val="nil"/>
          <w:bottom w:val="nil"/>
          <w:right w:val="nil"/>
          <w:between w:val="nil"/>
        </w:pBdr>
        <w:spacing w:line="276" w:lineRule="auto"/>
        <w:ind w:left="720"/>
        <w:jc w:val="both"/>
        <w:rPr>
          <w:rFonts w:ascii="Palatino Linotype" w:eastAsia="Tahoma" w:hAnsi="Palatino Linotype"/>
          <w:sz w:val="22"/>
          <w:szCs w:val="22"/>
        </w:rPr>
      </w:pPr>
      <w:r w:rsidRPr="001D4399">
        <w:rPr>
          <w:rFonts w:ascii="Palatino Linotype" w:eastAsia="Palatino Linotype" w:hAnsi="Palatino Linotype" w:cs="Palatino Linotype"/>
          <w:sz w:val="22"/>
          <w:szCs w:val="22"/>
        </w:rPr>
        <w:t xml:space="preserve">(i) the notional turnover of index options increased by 10.2 per cent to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795.5 lakh crore, and accounted for 94</w:t>
      </w:r>
      <w:r>
        <w:rPr>
          <w:rFonts w:ascii="Palatino Linotype" w:eastAsia="Palatino Linotype" w:hAnsi="Palatino Linotype" w:cs="Palatino Linotype"/>
          <w:sz w:val="22"/>
          <w:szCs w:val="22"/>
        </w:rPr>
        <w:t>.0</w:t>
      </w:r>
      <w:r w:rsidRPr="001D4399">
        <w:rPr>
          <w:rFonts w:ascii="Palatino Linotype" w:eastAsia="Palatino Linotype" w:hAnsi="Palatino Linotype" w:cs="Palatino Linotype"/>
          <w:sz w:val="22"/>
          <w:szCs w:val="22"/>
        </w:rPr>
        <w:t xml:space="preserve"> per cent of the total equity </w:t>
      </w:r>
      <w:r w:rsidRPr="001D4399">
        <w:rPr>
          <w:rFonts w:ascii="Palatino Linotype" w:eastAsia="Tahoma" w:hAnsi="Palatino Linotype"/>
          <w:sz w:val="22"/>
          <w:szCs w:val="22"/>
        </w:rPr>
        <w:t xml:space="preserve">derivatives turnover of NSE; </w:t>
      </w:r>
    </w:p>
    <w:p w:rsidR="001755DE" w:rsidRPr="001D4399" w:rsidRDefault="001755DE" w:rsidP="001755DE">
      <w:pPr>
        <w:pBdr>
          <w:top w:val="nil"/>
          <w:left w:val="nil"/>
          <w:bottom w:val="nil"/>
          <w:right w:val="nil"/>
          <w:between w:val="nil"/>
        </w:pBdr>
        <w:spacing w:line="276" w:lineRule="auto"/>
        <w:ind w:left="709"/>
        <w:jc w:val="both"/>
        <w:rPr>
          <w:rFonts w:ascii="Palatino Linotype" w:eastAsia="Tahoma" w:hAnsi="Palatino Linotype"/>
          <w:sz w:val="22"/>
          <w:szCs w:val="22"/>
        </w:rPr>
      </w:pPr>
      <w:r w:rsidRPr="001D4399">
        <w:rPr>
          <w:rFonts w:ascii="Palatino Linotype" w:eastAsia="Tahoma" w:hAnsi="Palatino Linotype"/>
          <w:sz w:val="22"/>
          <w:szCs w:val="22"/>
        </w:rPr>
        <w:t xml:space="preserve">(ii) the notional turnover of stock options decreased by 16.1 per cent to </w:t>
      </w:r>
      <w:r w:rsidRPr="001D4399">
        <w:rPr>
          <w:rFonts w:ascii="Tahoma" w:eastAsia="Tahoma" w:hAnsi="Tahoma" w:cs="Tahoma"/>
          <w:sz w:val="22"/>
          <w:szCs w:val="22"/>
        </w:rPr>
        <w:t>₹</w:t>
      </w:r>
      <w:r w:rsidRPr="001D4399">
        <w:rPr>
          <w:rFonts w:ascii="Palatino Linotype" w:eastAsia="Tahoma" w:hAnsi="Palatino Linotype"/>
          <w:sz w:val="22"/>
          <w:szCs w:val="22"/>
        </w:rPr>
        <w:t xml:space="preserve">35.7 lakh crore; </w:t>
      </w:r>
    </w:p>
    <w:p w:rsidR="001755DE" w:rsidRPr="001D4399" w:rsidRDefault="001755DE" w:rsidP="001755DE">
      <w:pPr>
        <w:pBdr>
          <w:top w:val="nil"/>
          <w:left w:val="nil"/>
          <w:bottom w:val="nil"/>
          <w:right w:val="nil"/>
          <w:between w:val="nil"/>
        </w:pBdr>
        <w:spacing w:line="276" w:lineRule="auto"/>
        <w:ind w:left="709"/>
        <w:jc w:val="both"/>
        <w:rPr>
          <w:rFonts w:ascii="Palatino Linotype" w:eastAsia="Tahoma" w:hAnsi="Palatino Linotype"/>
          <w:sz w:val="22"/>
          <w:szCs w:val="22"/>
        </w:rPr>
      </w:pPr>
      <w:r w:rsidRPr="001D4399">
        <w:rPr>
          <w:rFonts w:ascii="Palatino Linotype" w:eastAsia="Tahoma" w:hAnsi="Palatino Linotype"/>
          <w:sz w:val="22"/>
          <w:szCs w:val="22"/>
        </w:rPr>
        <w:t xml:space="preserve">(iii) the notional turnover of index futures increased marginally by 0.3 per cent to </w:t>
      </w:r>
      <w:r w:rsidRPr="001D4399">
        <w:rPr>
          <w:rFonts w:ascii="Tahoma" w:eastAsia="Tahoma" w:hAnsi="Tahoma" w:cs="Tahoma"/>
          <w:sz w:val="22"/>
          <w:szCs w:val="22"/>
        </w:rPr>
        <w:t>₹</w:t>
      </w:r>
      <w:r w:rsidRPr="001D4399">
        <w:rPr>
          <w:rFonts w:ascii="Times New Roman" w:eastAsia="Tahoma" w:hAnsi="Times New Roman"/>
          <w:sz w:val="22"/>
          <w:szCs w:val="22"/>
        </w:rPr>
        <w:t xml:space="preserve"> </w:t>
      </w:r>
      <w:r w:rsidRPr="001D4399">
        <w:rPr>
          <w:rFonts w:ascii="Palatino Linotype" w:eastAsia="Tahoma" w:hAnsi="Palatino Linotype"/>
          <w:sz w:val="22"/>
          <w:szCs w:val="22"/>
        </w:rPr>
        <w:t xml:space="preserve">9.1 lakh crore; and </w:t>
      </w:r>
    </w:p>
    <w:p w:rsidR="001755DE" w:rsidRPr="001D4399" w:rsidRDefault="001755DE" w:rsidP="001755DE">
      <w:pPr>
        <w:pBdr>
          <w:top w:val="nil"/>
          <w:left w:val="nil"/>
          <w:bottom w:val="nil"/>
          <w:right w:val="nil"/>
          <w:between w:val="nil"/>
        </w:pBdr>
        <w:spacing w:line="276" w:lineRule="auto"/>
        <w:ind w:left="709"/>
        <w:jc w:val="both"/>
        <w:rPr>
          <w:rFonts w:ascii="Palatino Linotype" w:eastAsia="Tahoma" w:hAnsi="Palatino Linotype"/>
          <w:sz w:val="22"/>
          <w:szCs w:val="22"/>
        </w:rPr>
      </w:pPr>
      <w:r w:rsidRPr="001D4399">
        <w:rPr>
          <w:rFonts w:ascii="Palatino Linotype" w:eastAsia="Tahoma" w:hAnsi="Palatino Linotype"/>
          <w:sz w:val="22"/>
          <w:szCs w:val="22"/>
        </w:rPr>
        <w:t xml:space="preserve">(iv) the notional turnover of stock futures decreased by 17.4 per cent to </w:t>
      </w:r>
      <w:r w:rsidRPr="001D4399">
        <w:rPr>
          <w:rFonts w:ascii="Tahoma" w:eastAsia="Tahoma" w:hAnsi="Tahoma" w:cs="Tahoma"/>
          <w:sz w:val="22"/>
          <w:szCs w:val="22"/>
        </w:rPr>
        <w:t>₹</w:t>
      </w:r>
      <w:r w:rsidRPr="001D4399">
        <w:rPr>
          <w:rFonts w:ascii="Times New Roman" w:eastAsia="Tahoma" w:hAnsi="Times New Roman"/>
          <w:sz w:val="22"/>
          <w:szCs w:val="22"/>
        </w:rPr>
        <w:t xml:space="preserve"> </w:t>
      </w:r>
      <w:r w:rsidRPr="001D4399">
        <w:rPr>
          <w:rFonts w:ascii="Palatino Linotype" w:eastAsia="Tahoma" w:hAnsi="Palatino Linotype"/>
          <w:sz w:val="22"/>
          <w:szCs w:val="22"/>
        </w:rPr>
        <w:t xml:space="preserve">19.9 lakh crore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A</w:t>
      </w:r>
      <w:r>
        <w:rPr>
          <w:rFonts w:ascii="Palatino Linotype" w:eastAsia="Palatino Linotype" w:hAnsi="Palatino Linotype" w:cs="Palatino Linotype"/>
          <w:sz w:val="22"/>
          <w:szCs w:val="22"/>
        </w:rPr>
        <w:t>t</w:t>
      </w:r>
      <w:r w:rsidRPr="001D4399">
        <w:rPr>
          <w:rFonts w:ascii="Palatino Linotype" w:eastAsia="Palatino Linotype" w:hAnsi="Palatino Linotype" w:cs="Palatino Linotype"/>
          <w:sz w:val="22"/>
          <w:szCs w:val="22"/>
        </w:rPr>
        <w:t xml:space="preserve">  end of March 2021, the open interest in terms of value at NSE stood at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5,80,514 crore compared to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4,80,454 crore in February 2021.</w:t>
      </w:r>
    </w:p>
    <w:p w:rsidR="001755DE" w:rsidRPr="001D4399" w:rsidRDefault="001755DE" w:rsidP="001755DE">
      <w:pPr>
        <w:pBdr>
          <w:top w:val="nil"/>
          <w:left w:val="nil"/>
          <w:bottom w:val="nil"/>
          <w:right w:val="nil"/>
          <w:between w:val="nil"/>
        </w:pBdr>
        <w:jc w:val="center"/>
        <w:rPr>
          <w:rFonts w:ascii="Palatino Linotype" w:eastAsia="Palatino Linotype" w:hAnsi="Palatino Linotype" w:cs="Palatino Linotype"/>
          <w:b/>
          <w:sz w:val="22"/>
          <w:szCs w:val="22"/>
          <w:highlight w:val="yellow"/>
        </w:rPr>
      </w:pPr>
    </w:p>
    <w:p w:rsidR="001755DE" w:rsidRPr="001D4399" w:rsidRDefault="001755DE" w:rsidP="001755DE">
      <w:pPr>
        <w:pBdr>
          <w:top w:val="nil"/>
          <w:left w:val="nil"/>
          <w:bottom w:val="nil"/>
          <w:right w:val="nil"/>
          <w:between w:val="nil"/>
        </w:pBd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 xml:space="preserve">     Figure 6: Trends of Average Daily Notional Turnover at BSE and NSE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b/>
          <w:sz w:val="22"/>
          <w:szCs w:val="22"/>
        </w:rPr>
        <w:t xml:space="preserve"> crore)</w:t>
      </w:r>
    </w:p>
    <w:p w:rsidR="001755DE" w:rsidRPr="001D4399" w:rsidRDefault="001755DE" w:rsidP="001755DE">
      <w:pPr>
        <w:pBdr>
          <w:top w:val="nil"/>
          <w:left w:val="nil"/>
          <w:bottom w:val="nil"/>
          <w:right w:val="nil"/>
          <w:between w:val="nil"/>
        </w:pBdr>
        <w:jc w:val="center"/>
        <w:rPr>
          <w:rFonts w:ascii="Palatino Linotype" w:eastAsia="Palatino Linotype" w:hAnsi="Palatino Linotype" w:cs="Palatino Linotype"/>
          <w:b/>
          <w:color w:val="2E74B5"/>
          <w:sz w:val="22"/>
          <w:szCs w:val="22"/>
        </w:rPr>
      </w:pPr>
      <w:r w:rsidRPr="00797A8B">
        <w:rPr>
          <w:noProof/>
          <w:lang w:val="en-IN" w:eastAsia="en-IN" w:bidi="hi-IN"/>
        </w:rPr>
        <w:drawing>
          <wp:inline distT="0" distB="0" distL="0" distR="0">
            <wp:extent cx="5901055" cy="2780030"/>
            <wp:effectExtent l="0" t="0" r="4445" b="1270"/>
            <wp:docPr id="41" name="Char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Note: ADNT implies Average Daily Notional Turnover</w:t>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BSE and NSE</w:t>
      </w:r>
    </w:p>
    <w:p w:rsidR="001755DE" w:rsidRPr="001D4399" w:rsidRDefault="001755DE" w:rsidP="001755DE">
      <w:pPr>
        <w:pBdr>
          <w:top w:val="nil"/>
          <w:left w:val="nil"/>
          <w:bottom w:val="nil"/>
          <w:right w:val="nil"/>
          <w:between w:val="nil"/>
        </w:pBdr>
        <w:jc w:val="center"/>
        <w:rPr>
          <w:rFonts w:ascii="Palatino Linotype" w:eastAsia="Palatino Linotype" w:hAnsi="Palatino Linotype" w:cs="Palatino Linotype"/>
          <w:b/>
          <w:color w:val="2E74B5"/>
          <w:sz w:val="22"/>
          <w:szCs w:val="22"/>
        </w:rPr>
      </w:pPr>
    </w:p>
    <w:p w:rsidR="001755DE" w:rsidRPr="001D4399" w:rsidRDefault="001755DE" w:rsidP="001755DE">
      <w:pPr>
        <w:pBdr>
          <w:top w:val="nil"/>
          <w:left w:val="nil"/>
          <w:bottom w:val="nil"/>
          <w:right w:val="nil"/>
          <w:between w:val="nil"/>
        </w:pBdr>
        <w:jc w:val="center"/>
        <w:rPr>
          <w:rFonts w:ascii="Palatino Linotype" w:eastAsia="Palatino Linotype" w:hAnsi="Palatino Linotype" w:cs="Palatino Linotype"/>
          <w:b/>
          <w:color w:val="2E74B5"/>
          <w:sz w:val="22"/>
          <w:szCs w:val="22"/>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b/>
          <w:sz w:val="22"/>
          <w:szCs w:val="22"/>
        </w:rPr>
      </w:pPr>
      <w:r w:rsidRPr="001D4399">
        <w:rPr>
          <w:rFonts w:ascii="Palatino Linotype" w:eastAsia="Palatino Linotype" w:hAnsi="Palatino Linotype" w:cs="Palatino Linotype"/>
          <w:sz w:val="22"/>
          <w:szCs w:val="22"/>
        </w:rPr>
        <w:t>During March 2021, the percentage share of weekly options (BSE and NSE together) to the total index options notional turnover (BSE and NSE Together) stood at 74.5 per cent compared to 74</w:t>
      </w:r>
      <w:r>
        <w:rPr>
          <w:rFonts w:ascii="Palatino Linotype" w:eastAsia="Palatino Linotype" w:hAnsi="Palatino Linotype" w:cs="Palatino Linotype"/>
          <w:sz w:val="22"/>
          <w:szCs w:val="22"/>
        </w:rPr>
        <w:t>.0</w:t>
      </w:r>
      <w:r w:rsidRPr="001D4399">
        <w:rPr>
          <w:rFonts w:ascii="Palatino Linotype" w:eastAsia="Palatino Linotype" w:hAnsi="Palatino Linotype" w:cs="Palatino Linotype"/>
          <w:sz w:val="22"/>
          <w:szCs w:val="22"/>
        </w:rPr>
        <w:t xml:space="preserve"> per cent in February 2021. The percentage share of monthly options for both the exchanges to total index options notional turnover decreased to 25</w:t>
      </w:r>
      <w:r>
        <w:rPr>
          <w:rFonts w:ascii="Palatino Linotype" w:eastAsia="Palatino Linotype" w:hAnsi="Palatino Linotype" w:cs="Palatino Linotype"/>
          <w:sz w:val="22"/>
          <w:szCs w:val="22"/>
        </w:rPr>
        <w:t>.0</w:t>
      </w:r>
      <w:r w:rsidRPr="001D4399">
        <w:rPr>
          <w:rFonts w:ascii="Palatino Linotype" w:eastAsia="Palatino Linotype" w:hAnsi="Palatino Linotype" w:cs="Palatino Linotype"/>
          <w:sz w:val="22"/>
          <w:szCs w:val="22"/>
        </w:rPr>
        <w:t xml:space="preserve"> per cent in March 2021 from 25.4 per cent in February 2021.  </w:t>
      </w: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b/>
          <w:sz w:val="22"/>
          <w:szCs w:val="22"/>
          <w:highlight w:val="yellow"/>
        </w:rPr>
      </w:pPr>
    </w:p>
    <w:p w:rsidR="001755DE" w:rsidRPr="001D4399" w:rsidRDefault="001755DE" w:rsidP="001755DE">
      <w:pPr>
        <w:jc w:val="cente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 xml:space="preserve">Figure 7: Maturity-wise percentage Share of Total Index Options Turnover </w:t>
      </w:r>
    </w:p>
    <w:p w:rsidR="001755DE" w:rsidRPr="001D4399" w:rsidRDefault="001755DE" w:rsidP="001755DE">
      <w:pPr>
        <w:spacing w:line="276" w:lineRule="auto"/>
        <w:jc w:val="center"/>
        <w:rPr>
          <w:rFonts w:ascii="Palatino Linotype" w:eastAsia="Palatino Linotype" w:hAnsi="Palatino Linotype" w:cs="Palatino Linotype"/>
          <w:b/>
          <w:sz w:val="22"/>
          <w:szCs w:val="22"/>
          <w:highlight w:val="yellow"/>
        </w:rPr>
      </w:pPr>
      <w:r w:rsidRPr="00797A8B">
        <w:rPr>
          <w:noProof/>
          <w:lang w:val="en-IN" w:eastAsia="en-IN" w:bidi="hi-IN"/>
        </w:rPr>
        <w:drawing>
          <wp:inline distT="0" distB="0" distL="0" distR="0">
            <wp:extent cx="5635625" cy="2740025"/>
            <wp:effectExtent l="0" t="0" r="3175" b="3175"/>
            <wp:docPr id="40" name="Char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BSE and NSE</w:t>
      </w:r>
    </w:p>
    <w:p w:rsidR="001755DE" w:rsidRPr="001D4399" w:rsidRDefault="001755DE" w:rsidP="001755DE">
      <w:pPr>
        <w:spacing w:line="276" w:lineRule="auto"/>
        <w:rPr>
          <w:rFonts w:ascii="Palatino Linotype" w:eastAsia="Palatino Linotype" w:hAnsi="Palatino Linotype" w:cs="Palatino Linotype"/>
          <w:b/>
          <w:sz w:val="18"/>
          <w:szCs w:val="18"/>
        </w:rPr>
      </w:pPr>
    </w:p>
    <w:p w:rsidR="001755DE" w:rsidRPr="001D4399" w:rsidRDefault="001755DE" w:rsidP="001755DE">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 xml:space="preserve">Currency Derivatives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During March 2021, the monthly notional turnover of currency derivatives in India (NSE, BSE and MSEI together) stood at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20,22,179 crore as compared to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15,43,852 crore in February 2021, registering an increase of 31</w:t>
      </w:r>
      <w:r>
        <w:rPr>
          <w:rFonts w:ascii="Palatino Linotype" w:eastAsia="Palatino Linotype" w:hAnsi="Palatino Linotype" w:cs="Palatino Linotype"/>
          <w:sz w:val="22"/>
          <w:szCs w:val="22"/>
        </w:rPr>
        <w:t>.0</w:t>
      </w:r>
      <w:r w:rsidRPr="001D4399">
        <w:rPr>
          <w:rFonts w:ascii="Palatino Linotype" w:eastAsia="Palatino Linotype" w:hAnsi="Palatino Linotype" w:cs="Palatino Linotype"/>
          <w:sz w:val="22"/>
          <w:szCs w:val="22"/>
        </w:rPr>
        <w:t xml:space="preserve"> per cent.</w:t>
      </w:r>
    </w:p>
    <w:p w:rsidR="001755DE" w:rsidRPr="001D4399" w:rsidRDefault="001755DE" w:rsidP="001755DE">
      <w:pPr>
        <w:pBdr>
          <w:top w:val="nil"/>
          <w:left w:val="nil"/>
          <w:bottom w:val="nil"/>
          <w:right w:val="nil"/>
          <w:between w:val="nil"/>
        </w:pBdr>
        <w:spacing w:line="276" w:lineRule="auto"/>
        <w:jc w:val="both"/>
        <w:rPr>
          <w:rFonts w:ascii="Palatino Linotype" w:eastAsia="Palatino Linotype" w:hAnsi="Palatino Linotype" w:cs="Palatino Linotype"/>
          <w:sz w:val="22"/>
          <w:szCs w:val="22"/>
          <w:highlight w:val="yellow"/>
        </w:rPr>
      </w:pPr>
    </w:p>
    <w:p w:rsidR="001755DE" w:rsidRPr="001D4399" w:rsidRDefault="001755DE" w:rsidP="001755DE">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Figure 8: Trends of Currency Derivatives at NSE, MSEI and BSE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b/>
          <w:sz w:val="22"/>
          <w:szCs w:val="22"/>
        </w:rPr>
        <w:t xml:space="preserve"> crore)</w:t>
      </w:r>
    </w:p>
    <w:p w:rsidR="001755DE" w:rsidRPr="001D4399" w:rsidRDefault="001755DE" w:rsidP="001755DE">
      <w:pPr>
        <w:keepNext/>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797A8B">
        <w:rPr>
          <w:noProof/>
          <w:lang w:val="en-IN" w:eastAsia="en-IN" w:bidi="hi-IN"/>
        </w:rPr>
        <w:drawing>
          <wp:inline distT="0" distB="0" distL="0" distR="0">
            <wp:extent cx="5629275" cy="2748280"/>
            <wp:effectExtent l="0" t="0" r="9525" b="13970"/>
            <wp:docPr id="39" name="Char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755DE" w:rsidRPr="001D4399" w:rsidRDefault="001755DE" w:rsidP="001755DE">
      <w:pPr>
        <w:spacing w:line="276" w:lineRule="auto"/>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BSE, NSE and MSEI </w:t>
      </w:r>
    </w:p>
    <w:p w:rsidR="001755DE" w:rsidRPr="001D4399" w:rsidRDefault="001755DE" w:rsidP="001755DE">
      <w:pPr>
        <w:spacing w:line="276" w:lineRule="auto"/>
        <w:rPr>
          <w:rFonts w:ascii="Palatino Linotype" w:eastAsia="Palatino Linotype" w:hAnsi="Palatino Linotype" w:cs="Palatino Linotype"/>
          <w:b/>
          <w:sz w:val="18"/>
          <w:szCs w:val="18"/>
        </w:rPr>
      </w:pPr>
    </w:p>
    <w:p w:rsidR="001755DE" w:rsidRPr="001D4399" w:rsidRDefault="001755DE" w:rsidP="001755DE">
      <w:pPr>
        <w:spacing w:line="276" w:lineRule="auto"/>
        <w:rPr>
          <w:rFonts w:ascii="Palatino Linotype" w:eastAsia="Palatino Linotype" w:hAnsi="Palatino Linotype" w:cs="Palatino Linotype"/>
          <w:b/>
          <w:sz w:val="18"/>
          <w:szCs w:val="18"/>
        </w:rPr>
      </w:pPr>
    </w:p>
    <w:p w:rsidR="001755DE" w:rsidRPr="001D4399" w:rsidRDefault="001755DE" w:rsidP="001755DE">
      <w:pPr>
        <w:widowControl w:val="0"/>
        <w:numPr>
          <w:ilvl w:val="0"/>
          <w:numId w:val="3"/>
        </w:numPr>
        <w:spacing w:line="276" w:lineRule="auto"/>
        <w:ind w:left="567" w:hanging="567"/>
        <w:jc w:val="both"/>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 xml:space="preserve">Interest Rate Derivatives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w:t>
      </w:r>
      <w:r w:rsidRPr="001D4399">
        <w:rPr>
          <w:rFonts w:ascii="Palatino Linotype" w:eastAsia="Palatino Linotype" w:hAnsi="Palatino Linotype" w:cs="Palatino Linotype"/>
          <w:sz w:val="22"/>
          <w:szCs w:val="22"/>
        </w:rPr>
        <w:t xml:space="preserve">onthly notional turnover of interest rate derivatives at NSE decreased by 34.8 per cent </w:t>
      </w:r>
      <w:r>
        <w:rPr>
          <w:rFonts w:ascii="Palatino Linotype" w:eastAsia="Palatino Linotype" w:hAnsi="Palatino Linotype" w:cs="Palatino Linotype"/>
          <w:sz w:val="22"/>
          <w:szCs w:val="22"/>
        </w:rPr>
        <w:t xml:space="preserve">during March 2021 </w:t>
      </w:r>
      <w:r w:rsidRPr="001D4399">
        <w:rPr>
          <w:rFonts w:ascii="Palatino Linotype" w:eastAsia="Palatino Linotype" w:hAnsi="Palatino Linotype" w:cs="Palatino Linotype"/>
          <w:sz w:val="22"/>
          <w:szCs w:val="22"/>
        </w:rPr>
        <w:t xml:space="preserve">to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4,390 crore from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6,735 crore during February 2021.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The monthly notional turnover of interest rate futures at BSE increased by 165.4 per cent to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14,649 crore from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5,520crore during the same period. </w:t>
      </w:r>
    </w:p>
    <w:p w:rsidR="001755DE" w:rsidRPr="001D4399" w:rsidRDefault="001755DE" w:rsidP="001755DE">
      <w:pPr>
        <w:rPr>
          <w:rFonts w:ascii="Palatino Linotype" w:eastAsia="Palatino Linotype" w:hAnsi="Palatino Linotype" w:cs="Palatino Linotype"/>
          <w:b/>
          <w:color w:val="2E74B5"/>
          <w:sz w:val="22"/>
          <w:szCs w:val="22"/>
          <w:highlight w:val="yellow"/>
        </w:rPr>
      </w:pPr>
    </w:p>
    <w:p w:rsidR="001755DE" w:rsidRPr="001D4399" w:rsidRDefault="001755DE" w:rsidP="001755DE">
      <w:pPr>
        <w:pBdr>
          <w:top w:val="nil"/>
          <w:left w:val="nil"/>
          <w:bottom w:val="nil"/>
          <w:right w:val="nil"/>
          <w:between w:val="nil"/>
        </w:pBdr>
        <w:spacing w:line="276" w:lineRule="auto"/>
        <w:jc w:val="cente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Figure 9: Trends of Interest Rate Futures at NSE and BSE</w:t>
      </w:r>
    </w:p>
    <w:p w:rsidR="001755DE" w:rsidRPr="001D4399" w:rsidRDefault="001755DE" w:rsidP="001755DE">
      <w:pPr>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w:t>
      </w:r>
      <w:r w:rsidRPr="00797A8B">
        <w:rPr>
          <w:noProof/>
          <w:lang w:val="en-IN" w:eastAsia="en-IN" w:bidi="hi-IN"/>
        </w:rPr>
        <w:drawing>
          <wp:inline distT="0" distB="0" distL="0" distR="0">
            <wp:extent cx="5218430" cy="2552700"/>
            <wp:effectExtent l="0" t="0" r="1270" b="0"/>
            <wp:docPr id="36" name="Chart 3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1D4399">
        <w:rPr>
          <w:rFonts w:ascii="Palatino Linotype" w:eastAsia="Palatino Linotype" w:hAnsi="Palatino Linotype" w:cs="Palatino Linotype"/>
          <w:b/>
          <w:sz w:val="18"/>
          <w:szCs w:val="18"/>
        </w:rPr>
        <w:t xml:space="preserve">     Source: BSE and NSE </w:t>
      </w:r>
    </w:p>
    <w:p w:rsidR="001755DE" w:rsidRPr="001D4399" w:rsidRDefault="001755DE" w:rsidP="001755DE">
      <w:pPr>
        <w:rPr>
          <w:rFonts w:ascii="Palatino Linotype" w:eastAsia="Palatino Linotype" w:hAnsi="Palatino Linotype" w:cs="Palatino Linotype"/>
          <w:b/>
          <w:sz w:val="18"/>
          <w:szCs w:val="18"/>
        </w:rPr>
      </w:pPr>
    </w:p>
    <w:p w:rsidR="001755DE" w:rsidRPr="001D4399" w:rsidRDefault="001755DE" w:rsidP="001755DE">
      <w:pPr>
        <w:widowControl w:val="0"/>
        <w:numPr>
          <w:ilvl w:val="0"/>
          <w:numId w:val="2"/>
        </w:numPr>
        <w:spacing w:line="276" w:lineRule="auto"/>
        <w:ind w:left="454" w:hanging="454"/>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Trading in Corporate Debt Market</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During March 2021, BSE registered 8,369 trades of corporate debt with traded value of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64,044 crore, as compared to 5,646 trades with traded value of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43,534 crore in the previous month.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At NSE, 7,103 trades were recorded with a traded value of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95,400 crore in March 2021 as compared to 4,826 trades recorded with a traded value of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75,565 crore in February 2021. </w:t>
      </w:r>
    </w:p>
    <w:p w:rsidR="001755DE" w:rsidRPr="001D4399" w:rsidRDefault="001755DE" w:rsidP="001755DE">
      <w:pPr>
        <w:pBdr>
          <w:top w:val="nil"/>
          <w:left w:val="nil"/>
          <w:bottom w:val="nil"/>
          <w:right w:val="nil"/>
          <w:between w:val="nil"/>
        </w:pBdr>
        <w:spacing w:line="276" w:lineRule="auto"/>
        <w:ind w:left="720" w:hanging="720"/>
        <w:rPr>
          <w:rFonts w:ascii="Palatino Linotype" w:eastAsia="Palatino Linotype" w:hAnsi="Palatino Linotype" w:cs="Palatino Linotype"/>
          <w:b/>
          <w:color w:val="2E74B5"/>
          <w:sz w:val="22"/>
          <w:szCs w:val="22"/>
          <w:highlight w:val="yellow"/>
        </w:rPr>
      </w:pP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Figure 10: Trends in Reported Turnover of Corporate Bonds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b/>
          <w:sz w:val="22"/>
          <w:szCs w:val="22"/>
        </w:rPr>
        <w:t xml:space="preserve"> crore)</w:t>
      </w: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rPr>
      </w:pPr>
      <w:r w:rsidRPr="00797A8B">
        <w:rPr>
          <w:noProof/>
          <w:lang w:val="en-IN" w:eastAsia="en-IN" w:bidi="hi-IN"/>
        </w:rPr>
        <w:drawing>
          <wp:inline distT="0" distB="0" distL="0" distR="0">
            <wp:extent cx="6053455" cy="2740025"/>
            <wp:effectExtent l="0" t="0" r="4445" b="3175"/>
            <wp:docPr id="35" name="Char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1755DE" w:rsidRPr="001D4399" w:rsidRDefault="001755DE" w:rsidP="001755DE">
      <w:pPr>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w:t>
      </w:r>
      <w:r w:rsidRPr="00484D1D">
        <w:rPr>
          <w:rFonts w:ascii="Palatino Linotype" w:eastAsia="Palatino Linotype" w:hAnsi="Palatino Linotype" w:cs="Palatino Linotype"/>
          <w:bCs/>
          <w:sz w:val="18"/>
          <w:szCs w:val="18"/>
        </w:rPr>
        <w:t>BSE and NSE</w:t>
      </w:r>
      <w:r w:rsidRPr="001D4399">
        <w:rPr>
          <w:rFonts w:ascii="Palatino Linotype" w:eastAsia="Palatino Linotype" w:hAnsi="Palatino Linotype" w:cs="Palatino Linotype"/>
          <w:b/>
          <w:sz w:val="18"/>
          <w:szCs w:val="18"/>
        </w:rPr>
        <w:t xml:space="preserve"> </w:t>
      </w: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p>
    <w:p w:rsidR="001755DE" w:rsidRPr="001D4399" w:rsidRDefault="001755DE" w:rsidP="001755DE">
      <w:pPr>
        <w:widowControl w:val="0"/>
        <w:spacing w:line="276" w:lineRule="auto"/>
        <w:ind w:left="720"/>
        <w:contextualSpacing/>
        <w:jc w:val="both"/>
        <w:rPr>
          <w:rFonts w:ascii="Palatino Linotype" w:hAnsi="Palatino Linotype"/>
          <w:b/>
          <w:color w:val="2E74B5"/>
          <w:sz w:val="22"/>
          <w:szCs w:val="22"/>
        </w:rPr>
      </w:pPr>
    </w:p>
    <w:p w:rsidR="001755DE" w:rsidRPr="001D4399" w:rsidRDefault="001755DE" w:rsidP="001755DE">
      <w:pPr>
        <w:widowControl w:val="0"/>
        <w:numPr>
          <w:ilvl w:val="0"/>
          <w:numId w:val="2"/>
        </w:numPr>
        <w:spacing w:line="276" w:lineRule="auto"/>
        <w:ind w:left="567" w:hanging="567"/>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Trends in Institutional Investments</w:t>
      </w:r>
    </w:p>
    <w:p w:rsidR="001755DE" w:rsidRPr="001D4399" w:rsidRDefault="001755DE" w:rsidP="001755DE">
      <w:pPr>
        <w:widowControl w:val="0"/>
        <w:spacing w:line="276" w:lineRule="auto"/>
        <w:ind w:left="720"/>
        <w:jc w:val="both"/>
        <w:rPr>
          <w:rFonts w:ascii="Palatino Linotype" w:eastAsia="Palatino Linotype" w:hAnsi="Palatino Linotype" w:cs="Palatino Linotype"/>
          <w:b/>
          <w:sz w:val="22"/>
          <w:szCs w:val="22"/>
          <w:highlight w:val="yellow"/>
        </w:rPr>
      </w:pPr>
    </w:p>
    <w:p w:rsidR="001755DE" w:rsidRPr="001D4399" w:rsidRDefault="001755DE" w:rsidP="001755DE">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Trends in Fund Mobilisation/Transactions by Mutual Funds</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Times New Roman" w:hAnsi="Palatino Linotype" w:cs="Tahoma"/>
          <w:sz w:val="22"/>
          <w:szCs w:val="22"/>
          <w:lang w:val="en-IN" w:eastAsia="en-IN"/>
        </w:rPr>
        <w:t> </w:t>
      </w:r>
      <w:r w:rsidRPr="001D4399">
        <w:rPr>
          <w:rFonts w:ascii="Palatino Linotype" w:eastAsia="Times New Roman" w:hAnsi="Palatino Linotype" w:cs="Tahoma"/>
          <w:sz w:val="22"/>
          <w:szCs w:val="22"/>
          <w:lang w:eastAsia="en-IN"/>
        </w:rPr>
        <w:t xml:space="preserve">At </w:t>
      </w:r>
      <w:r w:rsidRPr="001D4399">
        <w:rPr>
          <w:rFonts w:ascii="Palatino Linotype" w:eastAsia="Palatino Linotype" w:hAnsi="Palatino Linotype" w:cs="Palatino Linotype"/>
          <w:sz w:val="22"/>
          <w:szCs w:val="22"/>
        </w:rPr>
        <w:t>end of March 2021, there were a total of 1,735 mutual fund schemes in the market, of which</w:t>
      </w:r>
      <w:r>
        <w:rPr>
          <w:rFonts w:ascii="Palatino Linotype" w:eastAsia="Palatino Linotype" w:hAnsi="Palatino Linotype" w:cs="Palatino Linotype"/>
          <w:sz w:val="22"/>
          <w:szCs w:val="22"/>
        </w:rPr>
        <w:t>,</w:t>
      </w:r>
      <w:r w:rsidRPr="001D4399">
        <w:rPr>
          <w:rFonts w:ascii="Palatino Linotype" w:eastAsia="Palatino Linotype" w:hAnsi="Palatino Linotype" w:cs="Palatino Linotype"/>
          <w:sz w:val="22"/>
          <w:szCs w:val="22"/>
        </w:rPr>
        <w:t xml:space="preserve"> 1018 were open-ended schemes, 696 were close-ended schemes and 21 were interval schemes.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The mutual fund industry saw a net outflow of </w:t>
      </w:r>
      <w:r w:rsidRPr="001D4399">
        <w:rPr>
          <w:rFonts w:ascii="Tahoma" w:eastAsia="Palatino Linotype" w:hAnsi="Tahoma" w:cs="Tahoma"/>
          <w:sz w:val="22"/>
          <w:szCs w:val="22"/>
        </w:rPr>
        <w:t>₹</w:t>
      </w:r>
      <w:r w:rsidRPr="001D4399">
        <w:rPr>
          <w:rFonts w:ascii="Palatino Linotype" w:eastAsia="Palatino Linotype" w:hAnsi="Palatino Linotype" w:cs="Tahoma"/>
          <w:sz w:val="22"/>
          <w:szCs w:val="22"/>
        </w:rPr>
        <w:t xml:space="preserve"> </w:t>
      </w:r>
      <w:r w:rsidRPr="001D4399">
        <w:rPr>
          <w:rFonts w:ascii="Palatino Linotype" w:eastAsia="Palatino Linotype" w:hAnsi="Palatino Linotype" w:cs="Palatino Linotype"/>
          <w:sz w:val="22"/>
          <w:szCs w:val="22"/>
        </w:rPr>
        <w:t xml:space="preserve">29,745 crore during March 2021 against a net inflow of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4,090 crore during February 2021.</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The funds mobilised by open-ended schemes during March 2021 w</w:t>
      </w:r>
      <w:r>
        <w:rPr>
          <w:rFonts w:ascii="Palatino Linotype" w:eastAsia="Palatino Linotype" w:hAnsi="Palatino Linotype" w:cs="Palatino Linotype"/>
          <w:sz w:val="22"/>
          <w:szCs w:val="22"/>
        </w:rPr>
        <w:t>ere</w:t>
      </w:r>
      <w:r w:rsidRPr="001D4399">
        <w:rPr>
          <w:rFonts w:ascii="Palatino Linotype" w:eastAsia="Palatino Linotype" w:hAnsi="Palatino Linotype" w:cs="Palatino Linotype"/>
          <w:sz w:val="22"/>
          <w:szCs w:val="22"/>
        </w:rPr>
        <w:t xml:space="preserve">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8,42,107 crore against redemption/repurchase of </w:t>
      </w:r>
      <w:r w:rsidRPr="001D4399">
        <w:rPr>
          <w:rFonts w:ascii="Tahoma" w:eastAsia="Palatino Linotype" w:hAnsi="Tahoma" w:cs="Tahoma"/>
          <w:sz w:val="22"/>
          <w:szCs w:val="22"/>
        </w:rPr>
        <w:t>₹</w:t>
      </w:r>
      <w:r w:rsidRPr="001D4399">
        <w:rPr>
          <w:rFonts w:ascii="Palatino Linotype" w:eastAsia="Palatino Linotype" w:hAnsi="Palatino Linotype" w:cs="Tahoma"/>
          <w:sz w:val="22"/>
          <w:szCs w:val="22"/>
        </w:rPr>
        <w:t xml:space="preserve"> </w:t>
      </w:r>
      <w:r w:rsidRPr="001D4399">
        <w:rPr>
          <w:rFonts w:ascii="Palatino Linotype" w:eastAsia="Palatino Linotype" w:hAnsi="Palatino Linotype" w:cs="Palatino Linotype"/>
          <w:sz w:val="22"/>
          <w:szCs w:val="22"/>
        </w:rPr>
        <w:t xml:space="preserve">8,71,019 crore, resulting in a net outflow of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28,912 crore from open-ended schemes. Of the total funds mobilised by the open-ended schemes during the month under consideration,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7,73,492 crore w</w:t>
      </w:r>
      <w:r>
        <w:rPr>
          <w:rFonts w:ascii="Palatino Linotype" w:eastAsia="Palatino Linotype" w:hAnsi="Palatino Linotype" w:cs="Palatino Linotype"/>
          <w:sz w:val="22"/>
          <w:szCs w:val="22"/>
        </w:rPr>
        <w:t>ere</w:t>
      </w:r>
      <w:r w:rsidRPr="001D4399">
        <w:rPr>
          <w:rFonts w:ascii="Palatino Linotype" w:eastAsia="Palatino Linotype" w:hAnsi="Palatino Linotype" w:cs="Palatino Linotype"/>
          <w:sz w:val="22"/>
          <w:szCs w:val="22"/>
        </w:rPr>
        <w:t xml:space="preserve"> mobilised through income/debt oriented schemes,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 28,023 crore through growth/equity oriented schemes,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 17,280 crore through hybrid schemes,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 308 crore through solution oriented schemes and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23,004 crore through other schemes.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During March 2021, the fund mobilised by close-ended schemes was </w:t>
      </w:r>
      <w:r w:rsidRPr="001D4399">
        <w:rPr>
          <w:rFonts w:ascii="Tahoma" w:eastAsia="Palatino Linotype" w:hAnsi="Tahoma" w:cs="Tahoma"/>
          <w:sz w:val="22"/>
          <w:szCs w:val="22"/>
        </w:rPr>
        <w:t>₹</w:t>
      </w:r>
      <w:r w:rsidRPr="001D4399">
        <w:rPr>
          <w:rFonts w:ascii="Palatino Linotype" w:hAnsi="Palatino Linotype"/>
          <w:sz w:val="22"/>
          <w:szCs w:val="22"/>
        </w:rPr>
        <w:t xml:space="preserve"> </w:t>
      </w:r>
      <w:r w:rsidRPr="001D4399">
        <w:rPr>
          <w:rFonts w:ascii="Palatino Linotype" w:eastAsia="Palatino Linotype" w:hAnsi="Palatino Linotype" w:cs="Palatino Linotype"/>
          <w:sz w:val="22"/>
          <w:szCs w:val="22"/>
        </w:rPr>
        <w:t>1,100 crore as against matured/ repurchase</w:t>
      </w:r>
      <w:r w:rsidRPr="001D4399">
        <w:rPr>
          <w:rFonts w:ascii="Palatino Linotype" w:eastAsia="Palatino Linotype" w:hAnsi="Palatino Linotype" w:cs="Palatino Linotype"/>
          <w:sz w:val="22"/>
          <w:szCs w:val="22"/>
          <w:vertAlign w:val="superscript"/>
        </w:rPr>
        <w:footnoteReference w:id="1"/>
      </w:r>
      <w:r w:rsidRPr="001D4399">
        <w:rPr>
          <w:rFonts w:ascii="Palatino Linotype" w:eastAsia="Palatino Linotype" w:hAnsi="Palatino Linotype" w:cs="Palatino Linotype"/>
          <w:sz w:val="22"/>
          <w:szCs w:val="22"/>
        </w:rPr>
        <w:t xml:space="preserve"> of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1,882 crore.  In the interval schemes worth </w:t>
      </w:r>
      <w:r w:rsidRPr="001D4399">
        <w:rPr>
          <w:rFonts w:ascii="Tahoma" w:eastAsia="Palatino Linotype" w:hAnsi="Tahoma" w:cs="Tahoma"/>
          <w:sz w:val="22"/>
          <w:szCs w:val="22"/>
        </w:rPr>
        <w:t>₹</w:t>
      </w:r>
      <w:r w:rsidRPr="001D4399">
        <w:rPr>
          <w:rFonts w:ascii="Palatino Linotype" w:eastAsia="Palatino Linotype" w:hAnsi="Palatino Linotype" w:cs="Tahoma"/>
          <w:sz w:val="22"/>
          <w:szCs w:val="22"/>
        </w:rPr>
        <w:t xml:space="preserve"> 52</w:t>
      </w:r>
      <w:r w:rsidRPr="001D4399">
        <w:rPr>
          <w:rFonts w:ascii="Palatino Linotype" w:eastAsia="Palatino Linotype" w:hAnsi="Palatino Linotype" w:cs="Palatino Linotype"/>
          <w:sz w:val="22"/>
          <w:szCs w:val="22"/>
        </w:rPr>
        <w:t xml:space="preserve"> crore were matured/redeemed during the period.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The net assets under management of mutual funds stood at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31.4 lakh crore as at the end of March 2021</w:t>
      </w:r>
      <w:r>
        <w:rPr>
          <w:rFonts w:ascii="Palatino Linotype" w:eastAsia="Palatino Linotype" w:hAnsi="Palatino Linotype" w:cs="Palatino Linotype"/>
          <w:sz w:val="22"/>
          <w:szCs w:val="22"/>
        </w:rPr>
        <w:t xml:space="preserve"> reflecting</w:t>
      </w:r>
      <w:r w:rsidRPr="001D4399">
        <w:rPr>
          <w:rFonts w:ascii="Palatino Linotype" w:eastAsia="Palatino Linotype" w:hAnsi="Palatino Linotype" w:cs="Palatino Linotype"/>
          <w:sz w:val="22"/>
          <w:szCs w:val="22"/>
        </w:rPr>
        <w:t xml:space="preserve"> a decrease by 0.7 per cent from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31.6 lakh crore as at the end of February 2021.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In the secondary market transactions, during March 2021, mutual funds deployed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4,773 crore in equity schemes and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15,661crore in debt schemes. </w:t>
      </w:r>
    </w:p>
    <w:p w:rsidR="001755DE" w:rsidRPr="001D4399" w:rsidRDefault="001755DE" w:rsidP="001755DE">
      <w:pPr>
        <w:pBdr>
          <w:top w:val="nil"/>
          <w:left w:val="nil"/>
          <w:bottom w:val="nil"/>
          <w:right w:val="nil"/>
          <w:between w:val="nil"/>
        </w:pBdr>
        <w:spacing w:line="276" w:lineRule="auto"/>
        <w:rPr>
          <w:rFonts w:ascii="Palatino Linotype" w:eastAsia="Palatino Linotype" w:hAnsi="Palatino Linotype" w:cs="Palatino Linotype"/>
          <w:b/>
          <w:color w:val="2E74B5"/>
          <w:sz w:val="22"/>
          <w:szCs w:val="22"/>
          <w:highlight w:val="yellow"/>
        </w:rPr>
      </w:pP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Figure 11: Trends in Mutual Funds Transactions in Secondary Market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b/>
          <w:sz w:val="22"/>
          <w:szCs w:val="22"/>
        </w:rPr>
        <w:t xml:space="preserve"> crore)</w:t>
      </w: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r w:rsidRPr="00797A8B">
        <w:rPr>
          <w:noProof/>
          <w:lang w:val="en-IN" w:eastAsia="en-IN" w:bidi="hi-IN"/>
        </w:rPr>
        <w:drawing>
          <wp:inline distT="0" distB="0" distL="0" distR="0">
            <wp:extent cx="5715000" cy="2819400"/>
            <wp:effectExtent l="0" t="0" r="0" b="0"/>
            <wp:docPr id="34" name="Chart 3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sz w:val="22"/>
          <w:szCs w:val="22"/>
        </w:rPr>
      </w:pPr>
    </w:p>
    <w:p w:rsidR="001755DE" w:rsidRPr="001D4399" w:rsidRDefault="001755DE" w:rsidP="001755DE">
      <w:pPr>
        <w:widowControl w:val="0"/>
        <w:numPr>
          <w:ilvl w:val="0"/>
          <w:numId w:val="4"/>
        </w:numPr>
        <w:tabs>
          <w:tab w:val="left" w:pos="0"/>
        </w:tabs>
        <w:spacing w:line="276" w:lineRule="auto"/>
        <w:ind w:left="567" w:hanging="567"/>
        <w:jc w:val="both"/>
        <w:rPr>
          <w:rFonts w:ascii="Palatino Linotype" w:eastAsia="Palatino Linotype" w:hAnsi="Palatino Linotype" w:cs="Palatino Linotype"/>
          <w:b/>
          <w:sz w:val="22"/>
          <w:szCs w:val="22"/>
        </w:rPr>
      </w:pPr>
      <w:r w:rsidRPr="001D4399">
        <w:rPr>
          <w:rFonts w:ascii="Palatino Linotype" w:eastAsia="Palatino Linotype" w:hAnsi="Palatino Linotype" w:cs="Palatino Linotype"/>
          <w:b/>
          <w:sz w:val="22"/>
          <w:szCs w:val="22"/>
        </w:rPr>
        <w:t>Trends in Investments by the Foreign Portfolio Investors (FPIs)</w:t>
      </w:r>
    </w:p>
    <w:p w:rsidR="001755DE" w:rsidRPr="001D4399" w:rsidRDefault="001755DE" w:rsidP="001755DE">
      <w:pPr>
        <w:widowControl w:val="0"/>
        <w:tabs>
          <w:tab w:val="left" w:pos="0"/>
        </w:tabs>
        <w:spacing w:line="276" w:lineRule="auto"/>
        <w:ind w:left="360"/>
        <w:jc w:val="both"/>
        <w:rPr>
          <w:rFonts w:ascii="Palatino Linotype" w:eastAsia="Palatino Linotype" w:hAnsi="Palatino Linotype" w:cs="Palatino Linotype"/>
          <w:b/>
          <w:sz w:val="22"/>
          <w:szCs w:val="22"/>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During March 2021, FPIs invested a total of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17,023 crore in the Indian securities market </w:t>
      </w:r>
      <w:r>
        <w:rPr>
          <w:rFonts w:ascii="Palatino Linotype" w:eastAsia="Palatino Linotype" w:hAnsi="Palatino Linotype" w:cs="Palatino Linotype"/>
          <w:sz w:val="22"/>
          <w:szCs w:val="22"/>
        </w:rPr>
        <w:t xml:space="preserve">as </w:t>
      </w:r>
      <w:r w:rsidRPr="001D4399">
        <w:rPr>
          <w:rFonts w:ascii="Palatino Linotype" w:eastAsia="Palatino Linotype" w:hAnsi="Palatino Linotype" w:cs="Palatino Linotype"/>
          <w:sz w:val="22"/>
          <w:szCs w:val="22"/>
        </w:rPr>
        <w:t xml:space="preserve">compared to an investment of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24,013 crore in February 2021. During March 2021, FPIs invested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10,482 crore in equity and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13,314 crore in debt-voluntary retention route.  However, FPIs withdr</w:t>
      </w:r>
      <w:r>
        <w:rPr>
          <w:rFonts w:ascii="Palatino Linotype" w:eastAsia="Palatino Linotype" w:hAnsi="Palatino Linotype" w:cs="Palatino Linotype"/>
          <w:sz w:val="22"/>
          <w:szCs w:val="22"/>
        </w:rPr>
        <w:t>e</w:t>
      </w:r>
      <w:r w:rsidRPr="001D4399">
        <w:rPr>
          <w:rFonts w:ascii="Palatino Linotype" w:eastAsia="Palatino Linotype" w:hAnsi="Palatino Linotype" w:cs="Palatino Linotype"/>
          <w:sz w:val="22"/>
          <w:szCs w:val="22"/>
        </w:rPr>
        <w:t xml:space="preserve">w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6,492 crore from debt securities and </w:t>
      </w:r>
      <w:r w:rsidRPr="001D4399">
        <w:rPr>
          <w:rFonts w:ascii="Rupee Foradian" w:eastAsia="Palatino Linotype" w:hAnsi="Rupee Foradian" w:cs="Palatino Linotype"/>
          <w:b/>
          <w:sz w:val="20"/>
          <w:szCs w:val="22"/>
        </w:rPr>
        <w:t>`</w:t>
      </w:r>
      <w:r w:rsidRPr="001D4399">
        <w:rPr>
          <w:rFonts w:ascii="Palatino Linotype" w:eastAsia="Palatino Linotype" w:hAnsi="Palatino Linotype" w:cs="Palatino Linotype"/>
          <w:sz w:val="22"/>
          <w:szCs w:val="22"/>
        </w:rPr>
        <w:t xml:space="preserve"> 281 crore from hybrid securities during </w:t>
      </w:r>
      <w:r>
        <w:rPr>
          <w:rFonts w:ascii="Palatino Linotype" w:eastAsia="Palatino Linotype" w:hAnsi="Palatino Linotype" w:cs="Palatino Linotype"/>
          <w:sz w:val="22"/>
          <w:szCs w:val="22"/>
        </w:rPr>
        <w:t>March</w:t>
      </w:r>
      <w:r w:rsidRPr="001D4399">
        <w:rPr>
          <w:rFonts w:ascii="Palatino Linotype" w:eastAsia="Palatino Linotype" w:hAnsi="Palatino Linotype" w:cs="Palatino Linotype"/>
          <w:sz w:val="22"/>
          <w:szCs w:val="22"/>
        </w:rPr>
        <w:t xml:space="preserve"> 2021. </w:t>
      </w: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highlight w:val="yellow"/>
        </w:rPr>
      </w:pP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The assets of FPIs in India, as reported by custodians, at the end of March 2021 w</w:t>
      </w:r>
      <w:r>
        <w:rPr>
          <w:rFonts w:ascii="Palatino Linotype" w:eastAsia="Palatino Linotype" w:hAnsi="Palatino Linotype" w:cs="Palatino Linotype"/>
          <w:sz w:val="22"/>
          <w:szCs w:val="22"/>
        </w:rPr>
        <w:t>ere</w:t>
      </w:r>
      <w:r w:rsidRPr="001D4399">
        <w:rPr>
          <w:rFonts w:ascii="Palatino Linotype" w:eastAsia="Palatino Linotype" w:hAnsi="Palatino Linotype" w:cs="Palatino Linotype"/>
          <w:sz w:val="22"/>
          <w:szCs w:val="22"/>
        </w:rPr>
        <w:t xml:space="preserve">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  4,462,903 crore, out of which the notional value of offshore derivative instruments (ODIs) (including ODIs on derivatives) was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  89,100 crore which is 2</w:t>
      </w:r>
      <w:r>
        <w:rPr>
          <w:rFonts w:ascii="Palatino Linotype" w:eastAsia="Palatino Linotype" w:hAnsi="Palatino Linotype" w:cs="Palatino Linotype"/>
          <w:sz w:val="22"/>
          <w:szCs w:val="22"/>
        </w:rPr>
        <w:t>.0</w:t>
      </w:r>
      <w:r w:rsidRPr="001D4399">
        <w:rPr>
          <w:rFonts w:ascii="Palatino Linotype" w:eastAsia="Palatino Linotype" w:hAnsi="Palatino Linotype" w:cs="Palatino Linotype"/>
          <w:sz w:val="22"/>
          <w:szCs w:val="22"/>
        </w:rPr>
        <w:t xml:space="preserve"> per cent of total assets of FPIs.  </w:t>
      </w:r>
    </w:p>
    <w:p w:rsidR="001755DE" w:rsidRPr="001D4399" w:rsidRDefault="001755DE" w:rsidP="001755DE">
      <w:pPr>
        <w:spacing w:after="200" w:line="276" w:lineRule="auto"/>
        <w:ind w:left="720"/>
        <w:contextualSpacing/>
        <w:rPr>
          <w:rFonts w:ascii="Palatino Linotype" w:eastAsia="Palatino Linotype" w:hAnsi="Palatino Linotype" w:cs="Palatino Linotype"/>
          <w:b/>
          <w:sz w:val="22"/>
          <w:szCs w:val="22"/>
          <w:lang w:val="en-US"/>
        </w:rPr>
      </w:pPr>
    </w:p>
    <w:p w:rsidR="001755DE" w:rsidRPr="001D4399" w:rsidRDefault="001755DE" w:rsidP="001755DE">
      <w:pPr>
        <w:pBdr>
          <w:top w:val="nil"/>
          <w:left w:val="nil"/>
          <w:bottom w:val="nil"/>
          <w:right w:val="nil"/>
          <w:between w:val="nil"/>
        </w:pBdr>
        <w:spacing w:line="276" w:lineRule="auto"/>
        <w:ind w:left="720"/>
        <w:rPr>
          <w:rFonts w:ascii="Palatino Linotype" w:eastAsia="Palatino Linotype" w:hAnsi="Palatino Linotype" w:cs="Palatino Linotype"/>
          <w:b/>
          <w:sz w:val="22"/>
          <w:szCs w:val="22"/>
          <w:highlight w:val="yellow"/>
        </w:rPr>
      </w:pPr>
      <w:r w:rsidRPr="001D4399">
        <w:rPr>
          <w:rFonts w:ascii="Palatino Linotype" w:eastAsia="Palatino Linotype" w:hAnsi="Palatino Linotype" w:cs="Palatino Linotype"/>
          <w:b/>
          <w:sz w:val="22"/>
          <w:szCs w:val="22"/>
        </w:rPr>
        <w:t>Figure 12: Trends in FPIs’ Investments</w:t>
      </w:r>
      <w:r>
        <w:rPr>
          <w:rFonts w:ascii="Palatino Linotype" w:eastAsia="Palatino Linotype" w:hAnsi="Palatino Linotype" w:cs="Palatino Linotype"/>
          <w:b/>
          <w:sz w:val="22"/>
          <w:szCs w:val="22"/>
        </w:rPr>
        <w:t xml:space="preserve"> (………..)</w:t>
      </w:r>
    </w:p>
    <w:p w:rsidR="001755DE" w:rsidRPr="001D4399" w:rsidRDefault="001755DE" w:rsidP="001755DE">
      <w:pPr>
        <w:pBdr>
          <w:top w:val="nil"/>
          <w:left w:val="nil"/>
          <w:bottom w:val="nil"/>
          <w:right w:val="nil"/>
          <w:between w:val="nil"/>
        </w:pBdr>
        <w:spacing w:line="276" w:lineRule="auto"/>
        <w:ind w:left="720" w:hanging="720"/>
        <w:jc w:val="center"/>
        <w:rPr>
          <w:rFonts w:ascii="Palatino Linotype" w:eastAsia="Palatino Linotype" w:hAnsi="Palatino Linotype" w:cs="Palatino Linotype"/>
          <w:b/>
          <w:color w:val="2E74B5"/>
          <w:sz w:val="22"/>
          <w:szCs w:val="22"/>
          <w:highlight w:val="yellow"/>
        </w:rPr>
      </w:pPr>
      <w:r w:rsidRPr="00797A8B">
        <w:rPr>
          <w:noProof/>
          <w:lang w:val="en-IN" w:eastAsia="en-IN" w:bidi="hi-IN"/>
        </w:rPr>
        <w:drawing>
          <wp:inline distT="0" distB="0" distL="0" distR="0">
            <wp:extent cx="6283325" cy="2823845"/>
            <wp:effectExtent l="0" t="0" r="3175" b="14605"/>
            <wp:docPr id="14"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1755DE" w:rsidRPr="001D4399" w:rsidRDefault="001755DE" w:rsidP="001755DE">
      <w:pPr>
        <w:rPr>
          <w:rFonts w:ascii="Palatino Linotype" w:eastAsia="Palatino Linotype" w:hAnsi="Palatino Linotype" w:cs="Palatino Linotype"/>
          <w:b/>
          <w:sz w:val="18"/>
          <w:szCs w:val="18"/>
        </w:rPr>
      </w:pPr>
      <w:r w:rsidRPr="001D4399">
        <w:rPr>
          <w:rFonts w:ascii="Palatino Linotype" w:eastAsia="Palatino Linotype" w:hAnsi="Palatino Linotype" w:cs="Palatino Linotype"/>
          <w:b/>
          <w:sz w:val="18"/>
          <w:szCs w:val="18"/>
        </w:rPr>
        <w:t xml:space="preserve">  Source: CDSL and NSDL</w:t>
      </w:r>
    </w:p>
    <w:p w:rsidR="001755DE" w:rsidRPr="001D4399" w:rsidRDefault="001755DE" w:rsidP="001755DE">
      <w:pPr>
        <w:pBdr>
          <w:top w:val="nil"/>
          <w:left w:val="nil"/>
          <w:bottom w:val="nil"/>
          <w:right w:val="nil"/>
          <w:between w:val="nil"/>
        </w:pBdr>
        <w:spacing w:line="276" w:lineRule="auto"/>
        <w:jc w:val="center"/>
        <w:rPr>
          <w:rFonts w:ascii="Palatino Linotype" w:eastAsia="Palatino Linotype" w:hAnsi="Palatino Linotype" w:cs="Palatino Linotype"/>
          <w:b/>
          <w:color w:val="2E74B5"/>
          <w:sz w:val="22"/>
          <w:szCs w:val="22"/>
          <w:highlight w:val="yellow"/>
        </w:rPr>
      </w:pPr>
    </w:p>
    <w:p w:rsidR="001755DE" w:rsidRPr="001D4399" w:rsidRDefault="001755DE" w:rsidP="001755DE">
      <w:pPr>
        <w:pBdr>
          <w:top w:val="nil"/>
          <w:left w:val="nil"/>
          <w:bottom w:val="nil"/>
          <w:right w:val="nil"/>
          <w:between w:val="nil"/>
        </w:pBdr>
        <w:spacing w:line="276" w:lineRule="auto"/>
        <w:ind w:left="720" w:hanging="720"/>
        <w:rPr>
          <w:rFonts w:ascii="Palatino Linotype" w:eastAsia="Palatino Linotype" w:hAnsi="Palatino Linotype" w:cs="Palatino Linotype"/>
          <w:b/>
          <w:color w:val="222A35"/>
          <w:sz w:val="22"/>
          <w:szCs w:val="22"/>
          <w:highlight w:val="yellow"/>
        </w:rPr>
      </w:pPr>
      <w:bookmarkStart w:id="0" w:name="_30j0zll" w:colFirst="0" w:colLast="0"/>
      <w:bookmarkEnd w:id="0"/>
    </w:p>
    <w:p w:rsidR="001755DE" w:rsidRPr="001D4399" w:rsidRDefault="001755DE" w:rsidP="001755DE">
      <w:pPr>
        <w:widowControl w:val="0"/>
        <w:numPr>
          <w:ilvl w:val="0"/>
          <w:numId w:val="2"/>
        </w:numPr>
        <w:spacing w:line="276" w:lineRule="auto"/>
        <w:ind w:left="567" w:hanging="567"/>
        <w:jc w:val="both"/>
        <w:rPr>
          <w:rFonts w:ascii="Palatino Linotype" w:eastAsia="Palatino Linotype" w:hAnsi="Palatino Linotype" w:cs="Palatino Linotype"/>
          <w:b/>
          <w:color w:val="222A35"/>
          <w:sz w:val="22"/>
          <w:szCs w:val="22"/>
        </w:rPr>
      </w:pPr>
      <w:r w:rsidRPr="001D4399">
        <w:rPr>
          <w:rFonts w:ascii="Palatino Linotype" w:eastAsia="Palatino Linotype" w:hAnsi="Palatino Linotype" w:cs="Palatino Linotype"/>
          <w:b/>
          <w:color w:val="222A35"/>
          <w:sz w:val="22"/>
          <w:szCs w:val="22"/>
        </w:rPr>
        <w:t>Trends in Portfolio Management Services (PMS)</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As at end of October 2020, </w:t>
      </w:r>
      <w:r>
        <w:rPr>
          <w:rFonts w:ascii="Palatino Linotype" w:eastAsia="Palatino Linotype" w:hAnsi="Palatino Linotype" w:cs="Palatino Linotype"/>
          <w:sz w:val="22"/>
          <w:szCs w:val="22"/>
        </w:rPr>
        <w:t>assets under management (</w:t>
      </w:r>
      <w:r w:rsidRPr="001D4399">
        <w:rPr>
          <w:rFonts w:ascii="Palatino Linotype" w:eastAsia="Palatino Linotype" w:hAnsi="Palatino Linotype" w:cs="Palatino Linotype"/>
          <w:sz w:val="22"/>
          <w:szCs w:val="22"/>
        </w:rPr>
        <w:t>AUM</w:t>
      </w:r>
      <w:r>
        <w:rPr>
          <w:rFonts w:ascii="Palatino Linotype" w:eastAsia="Palatino Linotype" w:hAnsi="Palatino Linotype" w:cs="Palatino Linotype"/>
          <w:sz w:val="22"/>
          <w:szCs w:val="22"/>
        </w:rPr>
        <w:t>)</w:t>
      </w:r>
      <w:r w:rsidRPr="001D4399">
        <w:rPr>
          <w:rFonts w:ascii="Palatino Linotype" w:eastAsia="Palatino Linotype" w:hAnsi="Palatino Linotype" w:cs="Palatino Linotype"/>
          <w:sz w:val="22"/>
          <w:szCs w:val="22"/>
        </w:rPr>
        <w:t xml:space="preserve"> of the portfolio management industry stood at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19.2 lakh crore. Of the total AUM, funds from EPFO/PFs account for </w:t>
      </w:r>
      <w:r w:rsidRPr="001D4399">
        <w:rPr>
          <w:rFonts w:ascii="Tahoma" w:eastAsia="Palatino Linotype" w:hAnsi="Tahoma" w:cs="Tahoma"/>
          <w:sz w:val="22"/>
          <w:szCs w:val="22"/>
        </w:rPr>
        <w:t>₹</w:t>
      </w:r>
      <w:r w:rsidRPr="001D4399">
        <w:rPr>
          <w:rFonts w:ascii="Palatino Linotype" w:eastAsia="Palatino Linotype" w:hAnsi="Palatino Linotype" w:cs="Palatino Linotype"/>
          <w:sz w:val="22"/>
          <w:szCs w:val="22"/>
        </w:rPr>
        <w:t xml:space="preserve">14.6 lakh crore. </w:t>
      </w:r>
    </w:p>
    <w:p w:rsidR="001755DE" w:rsidRPr="001D4399" w:rsidRDefault="001755DE" w:rsidP="001755DE">
      <w:pPr>
        <w:numPr>
          <w:ilvl w:val="0"/>
          <w:numId w:val="1"/>
        </w:numPr>
        <w:pBdr>
          <w:top w:val="nil"/>
          <w:left w:val="nil"/>
          <w:bottom w:val="nil"/>
          <w:right w:val="nil"/>
          <w:between w:val="nil"/>
        </w:pBdr>
        <w:spacing w:line="276" w:lineRule="auto"/>
        <w:jc w:val="both"/>
        <w:rPr>
          <w:rFonts w:ascii="Palatino Linotype" w:eastAsia="Palatino Linotype" w:hAnsi="Palatino Linotype" w:cs="Palatino Linotype"/>
          <w:sz w:val="22"/>
          <w:szCs w:val="22"/>
        </w:rPr>
      </w:pPr>
      <w:r w:rsidRPr="001D4399">
        <w:rPr>
          <w:rFonts w:ascii="Palatino Linotype" w:eastAsia="Palatino Linotype" w:hAnsi="Palatino Linotype" w:cs="Palatino Linotype"/>
          <w:sz w:val="22"/>
          <w:szCs w:val="22"/>
        </w:rPr>
        <w:t xml:space="preserve">There were 1,55,796 total clients in PMS industry as at the end of October 2020, of which 1,45,404 clients belong to discretionary services category, 8,409 clients belong to non-discretionary services category and 1,983 clients belong to advisory services category of portfolio management services.   </w:t>
      </w: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sz w:val="22"/>
          <w:szCs w:val="22"/>
        </w:rPr>
      </w:pPr>
    </w:p>
    <w:p w:rsidR="001755DE" w:rsidRPr="001D4399" w:rsidRDefault="001755DE" w:rsidP="001755DE">
      <w:pPr>
        <w:widowControl w:val="0"/>
        <w:numPr>
          <w:ilvl w:val="0"/>
          <w:numId w:val="2"/>
        </w:numPr>
        <w:spacing w:line="276" w:lineRule="auto"/>
        <w:ind w:left="567" w:hanging="567"/>
        <w:rPr>
          <w:rFonts w:ascii="Palatino Linotype" w:eastAsia="Palatino Linotype" w:hAnsi="Palatino Linotype" w:cs="Palatino Linotype"/>
          <w:b/>
          <w:color w:val="222A35"/>
          <w:sz w:val="22"/>
          <w:szCs w:val="22"/>
        </w:rPr>
      </w:pPr>
      <w:r w:rsidRPr="001D4399">
        <w:rPr>
          <w:rFonts w:ascii="Palatino Linotype" w:eastAsia="Palatino Linotype" w:hAnsi="Palatino Linotype" w:cs="Palatino Linotype"/>
          <w:b/>
          <w:color w:val="222A35"/>
          <w:sz w:val="22"/>
          <w:szCs w:val="22"/>
        </w:rPr>
        <w:t>Trends in Substantial Acquisition of Shares and Takeovers</w:t>
      </w:r>
    </w:p>
    <w:p w:rsidR="001755DE" w:rsidRPr="001D4399" w:rsidRDefault="001755DE" w:rsidP="001755DE">
      <w:pPr>
        <w:jc w:val="both"/>
        <w:rPr>
          <w:rFonts w:ascii="Palatino Linotype" w:eastAsia="Palatino Linotype" w:hAnsi="Palatino Linotype" w:cs="Palatino Linotype"/>
          <w:sz w:val="22"/>
          <w:szCs w:val="22"/>
        </w:rPr>
      </w:pPr>
    </w:p>
    <w:p w:rsidR="001755DE" w:rsidRPr="001D4399" w:rsidRDefault="001755DE" w:rsidP="001755DE">
      <w:pPr>
        <w:jc w:val="both"/>
        <w:rPr>
          <w:rFonts w:ascii="Palatino Linotype" w:eastAsia="Times New Roman" w:hAnsi="Palatino Linotype" w:cs="Garamond"/>
          <w:sz w:val="22"/>
          <w:szCs w:val="22"/>
        </w:rPr>
      </w:pPr>
      <w:r w:rsidRPr="001D4399">
        <w:rPr>
          <w:rFonts w:ascii="Palatino Linotype" w:eastAsia="Palatino Linotype" w:hAnsi="Palatino Linotype" w:cs="Palatino Linotype"/>
          <w:sz w:val="22"/>
          <w:szCs w:val="22"/>
        </w:rPr>
        <w:t xml:space="preserve">During March 2021, three open offers with offer value of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 xml:space="preserve">440 crore were closed </w:t>
      </w:r>
      <w:r w:rsidRPr="001D4399">
        <w:rPr>
          <w:rFonts w:ascii="Palatino Linotype" w:eastAsia="Palatino Linotype" w:hAnsi="Palatino Linotype" w:cs="Palatino Linotype"/>
          <w:color w:val="222A35"/>
          <w:sz w:val="22"/>
          <w:szCs w:val="22"/>
        </w:rPr>
        <w:t xml:space="preserve">under SEBI (Substantial Acquisition of Shares and Takeover) Regulations, 2011 (SAST Regulations) </w:t>
      </w:r>
      <w:r w:rsidRPr="001D4399">
        <w:rPr>
          <w:rFonts w:ascii="Palatino Linotype" w:eastAsia="Palatino Linotype" w:hAnsi="Palatino Linotype" w:cs="Palatino Linotype"/>
          <w:sz w:val="22"/>
          <w:szCs w:val="22"/>
        </w:rPr>
        <w:t xml:space="preserve">as against five open offers with offer value of </w:t>
      </w:r>
      <w:r w:rsidRPr="001D4399">
        <w:rPr>
          <w:rFonts w:ascii="Tahoma" w:eastAsia="Palatino Linotype" w:hAnsi="Tahoma" w:cs="Tahoma"/>
          <w:sz w:val="22"/>
          <w:szCs w:val="22"/>
        </w:rPr>
        <w:t>₹</w:t>
      </w:r>
      <w:r w:rsidRPr="001D4399">
        <w:rPr>
          <w:rFonts w:ascii="Times New Roman" w:eastAsia="Palatino Linotype" w:hAnsi="Times New Roman"/>
          <w:sz w:val="22"/>
          <w:szCs w:val="22"/>
        </w:rPr>
        <w:t xml:space="preserve"> </w:t>
      </w:r>
      <w:r w:rsidRPr="001D4399">
        <w:rPr>
          <w:rFonts w:ascii="Palatino Linotype" w:eastAsia="Palatino Linotype" w:hAnsi="Palatino Linotype" w:cs="Palatino Linotype"/>
          <w:sz w:val="22"/>
          <w:szCs w:val="22"/>
        </w:rPr>
        <w:t>211 crore were closed in February 2021</w:t>
      </w:r>
      <w:r w:rsidRPr="001D4399">
        <w:rPr>
          <w:rFonts w:ascii="Palatino Linotype" w:eastAsia="Palatino Linotype" w:hAnsi="Palatino Linotype" w:cs="Palatino Linotype"/>
          <w:color w:val="222A35"/>
          <w:sz w:val="22"/>
          <w:szCs w:val="22"/>
        </w:rPr>
        <w:t xml:space="preserve">. </w:t>
      </w:r>
      <w:r w:rsidRPr="001D4399">
        <w:rPr>
          <w:rFonts w:ascii="Palatino Linotype" w:eastAsia="Times New Roman" w:hAnsi="Palatino Linotype" w:cs="Garamond"/>
          <w:sz w:val="22"/>
          <w:szCs w:val="22"/>
        </w:rPr>
        <w:t xml:space="preserve">Of the three offers, one open offer was for change in control of management, one was made </w:t>
      </w:r>
      <w:r>
        <w:rPr>
          <w:rFonts w:ascii="Palatino Linotype" w:eastAsia="Times New Roman" w:hAnsi="Palatino Linotype" w:cs="Garamond"/>
          <w:sz w:val="22"/>
          <w:szCs w:val="22"/>
        </w:rPr>
        <w:t xml:space="preserve">for </w:t>
      </w:r>
      <w:r w:rsidRPr="001D4399">
        <w:rPr>
          <w:rFonts w:ascii="Palatino Linotype" w:eastAsia="Times New Roman" w:hAnsi="Palatino Linotype" w:cs="Garamond"/>
          <w:sz w:val="22"/>
          <w:szCs w:val="22"/>
        </w:rPr>
        <w:t xml:space="preserve">consolidation of holdings and one was made </w:t>
      </w:r>
      <w:r>
        <w:rPr>
          <w:rFonts w:ascii="Palatino Linotype" w:eastAsia="Times New Roman" w:hAnsi="Palatino Linotype" w:cs="Garamond"/>
          <w:sz w:val="22"/>
          <w:szCs w:val="22"/>
        </w:rPr>
        <w:t>for</w:t>
      </w:r>
      <w:r w:rsidRPr="001D4399">
        <w:rPr>
          <w:rFonts w:ascii="Palatino Linotype" w:eastAsia="Times New Roman" w:hAnsi="Palatino Linotype" w:cs="Garamond"/>
          <w:sz w:val="22"/>
          <w:szCs w:val="22"/>
        </w:rPr>
        <w:t xml:space="preserve"> </w:t>
      </w:r>
      <w:r>
        <w:rPr>
          <w:rFonts w:ascii="Palatino Linotype" w:eastAsia="Times New Roman" w:hAnsi="Palatino Linotype" w:cs="Garamond"/>
          <w:sz w:val="22"/>
          <w:szCs w:val="22"/>
        </w:rPr>
        <w:t>s</w:t>
      </w:r>
      <w:r w:rsidRPr="001D4399">
        <w:rPr>
          <w:rFonts w:ascii="Palatino Linotype" w:eastAsia="Times New Roman" w:hAnsi="Palatino Linotype" w:cs="Garamond"/>
          <w:sz w:val="22"/>
          <w:szCs w:val="22"/>
        </w:rPr>
        <w:t xml:space="preserve">ubstantial </w:t>
      </w:r>
      <w:r>
        <w:rPr>
          <w:rFonts w:ascii="Palatino Linotype" w:eastAsia="Times New Roman" w:hAnsi="Palatino Linotype" w:cs="Garamond"/>
          <w:sz w:val="22"/>
          <w:szCs w:val="22"/>
        </w:rPr>
        <w:t>a</w:t>
      </w:r>
      <w:r w:rsidRPr="001D4399">
        <w:rPr>
          <w:rFonts w:ascii="Palatino Linotype" w:eastAsia="Times New Roman" w:hAnsi="Palatino Linotype" w:cs="Garamond"/>
          <w:sz w:val="22"/>
          <w:szCs w:val="22"/>
        </w:rPr>
        <w:t xml:space="preserve">cquisition. </w:t>
      </w: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1755DE" w:rsidRPr="001D4399" w:rsidRDefault="001755DE" w:rsidP="001755DE">
      <w:pPr>
        <w:pBdr>
          <w:top w:val="nil"/>
          <w:left w:val="nil"/>
          <w:bottom w:val="nil"/>
          <w:right w:val="nil"/>
          <w:between w:val="nil"/>
        </w:pBdr>
        <w:spacing w:line="276" w:lineRule="auto"/>
        <w:ind w:left="720"/>
        <w:jc w:val="both"/>
        <w:rPr>
          <w:rFonts w:ascii="Palatino Linotype" w:eastAsia="Palatino Linotype" w:hAnsi="Palatino Linotype" w:cs="Palatino Linotype"/>
          <w:color w:val="222A35"/>
          <w:sz w:val="22"/>
          <w:szCs w:val="22"/>
          <w:highlight w:val="yellow"/>
        </w:rPr>
      </w:pPr>
    </w:p>
    <w:p w:rsidR="001755DE" w:rsidRPr="001D4399" w:rsidRDefault="001755DE" w:rsidP="001755DE">
      <w:pPr>
        <w:jc w:val="center"/>
        <w:rPr>
          <w:rFonts w:ascii="Palatino Linotype" w:eastAsia="Palatino Linotype" w:hAnsi="Palatino Linotype" w:cs="Palatino Linotype"/>
          <w:b/>
          <w:color w:val="222A35"/>
          <w:sz w:val="22"/>
          <w:szCs w:val="22"/>
        </w:rPr>
      </w:pPr>
      <w:r w:rsidRPr="001D4399">
        <w:rPr>
          <w:rFonts w:ascii="Palatino Linotype" w:eastAsia="Palatino Linotype" w:hAnsi="Palatino Linotype" w:cs="Palatino Linotype"/>
          <w:b/>
          <w:color w:val="222A35"/>
          <w:sz w:val="22"/>
          <w:szCs w:val="22"/>
        </w:rPr>
        <w:t>Figure 13: Details of Open Offers Closed under the SEBI (SAST) Regulations</w:t>
      </w:r>
    </w:p>
    <w:p w:rsidR="001755DE" w:rsidRPr="001D4399" w:rsidRDefault="001755DE" w:rsidP="001755DE">
      <w:pPr>
        <w:spacing w:line="276" w:lineRule="auto"/>
        <w:jc w:val="center"/>
        <w:rPr>
          <w:rFonts w:ascii="Palatino Linotype" w:eastAsia="Palatino Linotype" w:hAnsi="Palatino Linotype" w:cs="Palatino Linotype"/>
          <w:b/>
          <w:color w:val="222A35"/>
          <w:sz w:val="22"/>
          <w:szCs w:val="22"/>
          <w:highlight w:val="yellow"/>
        </w:rPr>
      </w:pPr>
      <w:r w:rsidRPr="00797A8B">
        <w:rPr>
          <w:noProof/>
          <w:lang w:val="en-IN" w:eastAsia="en-IN" w:bidi="hi-IN"/>
        </w:rPr>
        <w:drawing>
          <wp:inline distT="0" distB="0" distL="0" distR="0">
            <wp:extent cx="5715000" cy="2700655"/>
            <wp:effectExtent l="0" t="0" r="0" b="4445"/>
            <wp:docPr id="13"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1755DE" w:rsidRPr="00B92D2D" w:rsidRDefault="001755DE" w:rsidP="001755DE">
      <w:pPr>
        <w:rPr>
          <w:rFonts w:ascii="Palatino Linotype" w:eastAsia="Times New Roman" w:hAnsi="Palatino Linotype"/>
          <w:b/>
          <w:color w:val="0F0684"/>
        </w:rPr>
      </w:pPr>
      <w:r w:rsidRPr="00797A8B">
        <w:rPr>
          <w:rFonts w:ascii="Garamond" w:hAnsi="Garamond"/>
          <w:b/>
          <w:color w:val="0D0D0D"/>
          <w:sz w:val="18"/>
          <w:szCs w:val="18"/>
        </w:rPr>
        <w:br w:type="page"/>
      </w:r>
      <w:r w:rsidRPr="00B92D2D">
        <w:rPr>
          <w:rFonts w:ascii="Palatino Linotype" w:hAnsi="Palatino Linotype"/>
          <w:b/>
          <w:color w:val="0F0684"/>
        </w:rPr>
        <w:t>IX.</w:t>
      </w:r>
      <w:r>
        <w:rPr>
          <w:rFonts w:ascii="Palatino Linotype" w:hAnsi="Palatino Linotype"/>
          <w:b/>
          <w:color w:val="0F0684"/>
        </w:rPr>
        <w:t xml:space="preserve">     Commodity </w:t>
      </w:r>
      <w:r w:rsidRPr="00B92D2D">
        <w:rPr>
          <w:rFonts w:ascii="Palatino Linotype" w:hAnsi="Palatino Linotype"/>
          <w:b/>
          <w:color w:val="0F0684"/>
        </w:rPr>
        <w:t>Derivatives Markets</w:t>
      </w:r>
    </w:p>
    <w:p w:rsidR="001755DE" w:rsidRPr="00B92D2D" w:rsidRDefault="001755DE" w:rsidP="001755DE">
      <w:pPr>
        <w:pStyle w:val="ListParagraph"/>
        <w:spacing w:after="0" w:line="240" w:lineRule="auto"/>
        <w:jc w:val="both"/>
        <w:rPr>
          <w:rFonts w:ascii="Palatino Linotype" w:eastAsia="Times New Roman" w:hAnsi="Palatino Linotype"/>
          <w:b/>
          <w:color w:val="000000"/>
          <w:sz w:val="22"/>
          <w:szCs w:val="22"/>
        </w:rPr>
      </w:pPr>
    </w:p>
    <w:p w:rsidR="001755DE" w:rsidRPr="00B92D2D" w:rsidRDefault="001755DE" w:rsidP="001755DE">
      <w:pPr>
        <w:pStyle w:val="ListParagraph"/>
        <w:numPr>
          <w:ilvl w:val="0"/>
          <w:numId w:val="26"/>
        </w:numPr>
        <w:spacing w:after="0" w:line="240" w:lineRule="auto"/>
        <w:ind w:left="-284" w:firstLine="0"/>
        <w:jc w:val="both"/>
        <w:rPr>
          <w:rFonts w:ascii="Palatino Linotype" w:eastAsia="Times New Roman" w:hAnsi="Palatino Linotype"/>
          <w:b/>
          <w:color w:val="000000"/>
          <w:sz w:val="22"/>
          <w:szCs w:val="22"/>
        </w:rPr>
      </w:pPr>
      <w:r>
        <w:rPr>
          <w:rFonts w:ascii="Palatino Linotype" w:eastAsia="Times New Roman" w:hAnsi="Palatino Linotype"/>
          <w:b/>
          <w:color w:val="000000"/>
          <w:sz w:val="22"/>
          <w:szCs w:val="22"/>
        </w:rPr>
        <w:t xml:space="preserve">      </w:t>
      </w:r>
      <w:r w:rsidRPr="00B92D2D">
        <w:rPr>
          <w:rFonts w:ascii="Palatino Linotype" w:eastAsia="Times New Roman" w:hAnsi="Palatino Linotype"/>
          <w:b/>
          <w:color w:val="000000"/>
          <w:sz w:val="22"/>
          <w:szCs w:val="22"/>
        </w:rPr>
        <w:t>Market Trends</w:t>
      </w:r>
    </w:p>
    <w:p w:rsidR="001755DE" w:rsidRPr="00B92D2D" w:rsidRDefault="001755DE" w:rsidP="001755DE">
      <w:pPr>
        <w:pStyle w:val="ListParagraph"/>
        <w:spacing w:after="0" w:line="240" w:lineRule="auto"/>
        <w:jc w:val="both"/>
        <w:rPr>
          <w:rFonts w:ascii="Palatino Linotype" w:hAnsi="Palatino Linotype"/>
          <w:sz w:val="22"/>
          <w:szCs w:val="22"/>
        </w:rPr>
      </w:pPr>
    </w:p>
    <w:p w:rsidR="001755DE" w:rsidRPr="00B92D2D" w:rsidRDefault="001755DE" w:rsidP="001755DE">
      <w:pPr>
        <w:pStyle w:val="ListParagraph"/>
        <w:numPr>
          <w:ilvl w:val="0"/>
          <w:numId w:val="27"/>
        </w:numPr>
        <w:spacing w:after="0" w:line="240" w:lineRule="auto"/>
        <w:ind w:left="284" w:hanging="284"/>
        <w:jc w:val="both"/>
        <w:rPr>
          <w:rFonts w:ascii="Palatino Linotype" w:hAnsi="Palatino Linotype"/>
          <w:sz w:val="22"/>
          <w:szCs w:val="22"/>
        </w:rPr>
      </w:pPr>
      <w:r w:rsidRPr="00B92D2D">
        <w:rPr>
          <w:rFonts w:ascii="Palatino Linotype" w:hAnsi="Palatino Linotype"/>
          <w:sz w:val="22"/>
          <w:szCs w:val="22"/>
        </w:rPr>
        <w:t>Durin</w:t>
      </w:r>
      <w:r>
        <w:rPr>
          <w:rFonts w:ascii="Palatino Linotype" w:hAnsi="Palatino Linotype"/>
          <w:sz w:val="22"/>
          <w:szCs w:val="22"/>
        </w:rPr>
        <w:t xml:space="preserve">g March </w:t>
      </w:r>
      <w:r w:rsidRPr="00B92D2D">
        <w:rPr>
          <w:rFonts w:ascii="Palatino Linotype" w:hAnsi="Palatino Linotype"/>
          <w:sz w:val="22"/>
          <w:szCs w:val="22"/>
        </w:rPr>
        <w:t>202</w:t>
      </w:r>
      <w:r>
        <w:rPr>
          <w:rFonts w:ascii="Palatino Linotype" w:hAnsi="Palatino Linotype"/>
          <w:sz w:val="22"/>
          <w:szCs w:val="22"/>
        </w:rPr>
        <w:t>1</w:t>
      </w:r>
      <w:r w:rsidRPr="00B92D2D">
        <w:rPr>
          <w:rFonts w:ascii="Palatino Linotype" w:hAnsi="Palatino Linotype"/>
          <w:sz w:val="22"/>
          <w:szCs w:val="22"/>
        </w:rPr>
        <w:t xml:space="preserve">, MCX iCOMDEX composite index, witnessed a </w:t>
      </w:r>
      <w:r>
        <w:rPr>
          <w:rFonts w:ascii="Palatino Linotype" w:hAnsi="Palatino Linotype"/>
          <w:sz w:val="22"/>
          <w:szCs w:val="22"/>
        </w:rPr>
        <w:t>decrease</w:t>
      </w:r>
      <w:r w:rsidRPr="00B92D2D">
        <w:rPr>
          <w:rFonts w:ascii="Palatino Linotype" w:hAnsi="Palatino Linotype"/>
          <w:sz w:val="22"/>
          <w:szCs w:val="22"/>
        </w:rPr>
        <w:t xml:space="preserve"> of </w:t>
      </w:r>
      <w:r>
        <w:rPr>
          <w:rFonts w:ascii="Palatino Linotype" w:hAnsi="Palatino Linotype"/>
          <w:sz w:val="22"/>
          <w:szCs w:val="22"/>
        </w:rPr>
        <w:t>4.6</w:t>
      </w:r>
      <w:r w:rsidRPr="00B92D2D">
        <w:rPr>
          <w:rFonts w:ascii="Palatino Linotype" w:hAnsi="Palatino Linotype"/>
          <w:sz w:val="22"/>
          <w:szCs w:val="22"/>
        </w:rPr>
        <w:t xml:space="preserve"> per cent (M-o-M) driven by </w:t>
      </w:r>
      <w:r>
        <w:rPr>
          <w:rFonts w:ascii="Palatino Linotype" w:hAnsi="Palatino Linotype"/>
          <w:sz w:val="22"/>
          <w:szCs w:val="22"/>
        </w:rPr>
        <w:t>de</w:t>
      </w:r>
      <w:r w:rsidRPr="00B92D2D">
        <w:rPr>
          <w:rFonts w:ascii="Palatino Linotype" w:hAnsi="Palatino Linotype"/>
          <w:sz w:val="22"/>
          <w:szCs w:val="22"/>
        </w:rPr>
        <w:t xml:space="preserve">crease in futures prices of </w:t>
      </w:r>
      <w:r>
        <w:rPr>
          <w:rFonts w:ascii="Palatino Linotype" w:hAnsi="Palatino Linotype"/>
          <w:sz w:val="22"/>
          <w:szCs w:val="22"/>
        </w:rPr>
        <w:t xml:space="preserve">energy, bullion, </w:t>
      </w:r>
      <w:r w:rsidRPr="00B92D2D">
        <w:rPr>
          <w:rFonts w:ascii="Palatino Linotype" w:hAnsi="Palatino Linotype"/>
          <w:sz w:val="22"/>
          <w:szCs w:val="22"/>
        </w:rPr>
        <w:t>base metals</w:t>
      </w:r>
      <w:r>
        <w:rPr>
          <w:rFonts w:ascii="Palatino Linotype" w:hAnsi="Palatino Linotype"/>
          <w:sz w:val="22"/>
          <w:szCs w:val="22"/>
        </w:rPr>
        <w:t xml:space="preserve"> (except aluminium) and cotton and mentha oil contracts of </w:t>
      </w:r>
      <w:r w:rsidRPr="00B92D2D">
        <w:rPr>
          <w:rFonts w:ascii="Palatino Linotype" w:hAnsi="Palatino Linotype"/>
          <w:sz w:val="22"/>
          <w:szCs w:val="22"/>
        </w:rPr>
        <w:t>agri</w:t>
      </w:r>
      <w:r>
        <w:rPr>
          <w:rFonts w:ascii="Palatino Linotype" w:hAnsi="Palatino Linotype"/>
          <w:sz w:val="22"/>
          <w:szCs w:val="22"/>
        </w:rPr>
        <w:t>.</w:t>
      </w:r>
      <w:r w:rsidRPr="00B92D2D">
        <w:rPr>
          <w:rFonts w:ascii="Palatino Linotype" w:hAnsi="Palatino Linotype"/>
          <w:sz w:val="22"/>
          <w:szCs w:val="22"/>
        </w:rPr>
        <w:t xml:space="preserve"> segment</w:t>
      </w:r>
      <w:r>
        <w:rPr>
          <w:rFonts w:ascii="Palatino Linotype" w:hAnsi="Palatino Linotype"/>
          <w:sz w:val="22"/>
          <w:szCs w:val="22"/>
        </w:rPr>
        <w:t>s</w:t>
      </w:r>
      <w:r w:rsidRPr="00B92D2D">
        <w:rPr>
          <w:rFonts w:ascii="Palatino Linotype" w:hAnsi="Palatino Linotype"/>
          <w:sz w:val="22"/>
          <w:szCs w:val="22"/>
        </w:rPr>
        <w:t>. O</w:t>
      </w:r>
      <w:r w:rsidRPr="00B92D2D">
        <w:rPr>
          <w:rFonts w:ascii="Palatino Linotype" w:eastAsia="Times New Roman" w:hAnsi="Palatino Linotype"/>
          <w:color w:val="000000"/>
          <w:sz w:val="22"/>
          <w:szCs w:val="22"/>
        </w:rPr>
        <w:t xml:space="preserve">n Y-o-Y basis, MCX iCOMDEX composite index </w:t>
      </w:r>
      <w:r>
        <w:rPr>
          <w:rFonts w:ascii="Palatino Linotype" w:eastAsia="Times New Roman" w:hAnsi="Palatino Linotype"/>
          <w:color w:val="000000"/>
          <w:sz w:val="22"/>
          <w:szCs w:val="22"/>
        </w:rPr>
        <w:t>in</w:t>
      </w:r>
      <w:r w:rsidRPr="00B92D2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26.2</w:t>
      </w:r>
      <w:r w:rsidRPr="00B92D2D">
        <w:rPr>
          <w:rFonts w:ascii="Palatino Linotype" w:eastAsia="Times New Roman" w:hAnsi="Palatino Linotype"/>
          <w:color w:val="000000"/>
          <w:sz w:val="22"/>
          <w:szCs w:val="22"/>
        </w:rPr>
        <w:t xml:space="preserve"> per cent. </w:t>
      </w:r>
    </w:p>
    <w:p w:rsidR="001755DE" w:rsidRPr="00F4237D" w:rsidRDefault="001755DE" w:rsidP="001755DE">
      <w:pPr>
        <w:pStyle w:val="ListParagraph"/>
        <w:numPr>
          <w:ilvl w:val="0"/>
          <w:numId w:val="27"/>
        </w:numPr>
        <w:spacing w:after="0" w:line="240" w:lineRule="auto"/>
        <w:ind w:left="284" w:hanging="284"/>
        <w:jc w:val="both"/>
        <w:rPr>
          <w:rFonts w:ascii="Palatino Linotype" w:hAnsi="Palatino Linotype"/>
          <w:sz w:val="22"/>
          <w:szCs w:val="22"/>
        </w:rPr>
      </w:pPr>
      <w:r w:rsidRPr="00F4237D">
        <w:rPr>
          <w:rFonts w:ascii="Palatino Linotype" w:hAnsi="Palatino Linotype"/>
          <w:sz w:val="22"/>
          <w:szCs w:val="22"/>
        </w:rPr>
        <w:t xml:space="preserve">During the month, </w:t>
      </w:r>
      <w:r w:rsidRPr="00F4237D">
        <w:rPr>
          <w:rFonts w:ascii="Palatino Linotype" w:eastAsia="Times New Roman" w:hAnsi="Palatino Linotype"/>
          <w:color w:val="000000"/>
          <w:sz w:val="22"/>
          <w:szCs w:val="22"/>
        </w:rPr>
        <w:t xml:space="preserve">MCX iCOMDEX crude oil index </w:t>
      </w:r>
      <w:r>
        <w:rPr>
          <w:rFonts w:ascii="Palatino Linotype" w:eastAsia="Times New Roman" w:hAnsi="Palatino Linotype"/>
          <w:color w:val="000000"/>
          <w:sz w:val="22"/>
          <w:szCs w:val="22"/>
        </w:rPr>
        <w:t>de</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5.4</w:t>
      </w:r>
      <w:r w:rsidRPr="00F4237D">
        <w:rPr>
          <w:rFonts w:ascii="Palatino Linotype" w:eastAsia="Times New Roman" w:hAnsi="Palatino Linotype"/>
          <w:color w:val="000000"/>
          <w:sz w:val="22"/>
          <w:szCs w:val="22"/>
        </w:rPr>
        <w:t xml:space="preserve"> per cent on account of </w:t>
      </w:r>
      <w:r>
        <w:rPr>
          <w:rFonts w:ascii="Palatino Linotype" w:eastAsia="Times New Roman" w:hAnsi="Palatino Linotype"/>
          <w:color w:val="000000"/>
          <w:sz w:val="22"/>
          <w:szCs w:val="22"/>
        </w:rPr>
        <w:t>de</w:t>
      </w:r>
      <w:r w:rsidRPr="00F4237D">
        <w:rPr>
          <w:rFonts w:ascii="Palatino Linotype" w:eastAsia="Times New Roman" w:hAnsi="Palatino Linotype"/>
          <w:color w:val="000000"/>
          <w:sz w:val="22"/>
          <w:szCs w:val="22"/>
        </w:rPr>
        <w:t xml:space="preserve">crease in futures price of crude oil by </w:t>
      </w:r>
      <w:r>
        <w:rPr>
          <w:rFonts w:ascii="Palatino Linotype" w:eastAsia="Times New Roman" w:hAnsi="Palatino Linotype"/>
          <w:color w:val="000000"/>
          <w:sz w:val="22"/>
          <w:szCs w:val="22"/>
        </w:rPr>
        <w:t>4.8</w:t>
      </w:r>
      <w:r w:rsidRPr="00F4237D">
        <w:rPr>
          <w:rFonts w:ascii="Palatino Linotype" w:eastAsia="Times New Roman" w:hAnsi="Palatino Linotype"/>
          <w:color w:val="000000"/>
          <w:sz w:val="22"/>
          <w:szCs w:val="22"/>
        </w:rPr>
        <w:t xml:space="preserve"> per cent. MCX iCOMDEX base metal index </w:t>
      </w:r>
      <w:r>
        <w:rPr>
          <w:rFonts w:ascii="Palatino Linotype" w:eastAsia="Times New Roman" w:hAnsi="Palatino Linotype"/>
          <w:color w:val="000000"/>
          <w:sz w:val="22"/>
          <w:szCs w:val="22"/>
        </w:rPr>
        <w:t>de</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6.8</w:t>
      </w:r>
      <w:r w:rsidRPr="00F4237D">
        <w:rPr>
          <w:rFonts w:ascii="Palatino Linotype" w:eastAsia="Times New Roman" w:hAnsi="Palatino Linotype"/>
          <w:color w:val="000000"/>
          <w:sz w:val="22"/>
          <w:szCs w:val="22"/>
        </w:rPr>
        <w:t xml:space="preserve"> per cent </w:t>
      </w:r>
      <w:r>
        <w:rPr>
          <w:rFonts w:ascii="Palatino Linotype" w:eastAsia="Times New Roman" w:hAnsi="Palatino Linotype"/>
          <w:color w:val="000000"/>
          <w:sz w:val="22"/>
          <w:szCs w:val="22"/>
        </w:rPr>
        <w:t xml:space="preserve">as the futures prices of all the base metals except aluminum decreased during the month.  </w:t>
      </w:r>
      <w:r w:rsidRPr="00F4237D">
        <w:rPr>
          <w:rFonts w:ascii="Palatino Linotype" w:eastAsia="Times New Roman" w:hAnsi="Palatino Linotype"/>
          <w:color w:val="000000"/>
          <w:sz w:val="22"/>
          <w:szCs w:val="22"/>
        </w:rPr>
        <w:t xml:space="preserve">MCX iCOMDEX bullion index </w:t>
      </w:r>
      <w:r>
        <w:rPr>
          <w:rFonts w:ascii="Palatino Linotype" w:eastAsia="Times New Roman" w:hAnsi="Palatino Linotype"/>
          <w:color w:val="000000"/>
          <w:sz w:val="22"/>
          <w:szCs w:val="22"/>
        </w:rPr>
        <w:t>de</w:t>
      </w:r>
      <w:r w:rsidRPr="00F4237D">
        <w:rPr>
          <w:rFonts w:ascii="Palatino Linotype" w:eastAsia="Times New Roman" w:hAnsi="Palatino Linotype"/>
          <w:color w:val="000000"/>
          <w:sz w:val="22"/>
          <w:szCs w:val="22"/>
        </w:rPr>
        <w:t xml:space="preserve">creased by </w:t>
      </w:r>
      <w:r>
        <w:rPr>
          <w:rFonts w:ascii="Palatino Linotype" w:eastAsia="Times New Roman" w:hAnsi="Palatino Linotype"/>
          <w:color w:val="000000"/>
          <w:sz w:val="22"/>
          <w:szCs w:val="22"/>
        </w:rPr>
        <w:t>4.0</w:t>
      </w:r>
      <w:r w:rsidRPr="00F4237D">
        <w:rPr>
          <w:rFonts w:ascii="Palatino Linotype" w:eastAsia="Times New Roman" w:hAnsi="Palatino Linotype"/>
          <w:color w:val="000000"/>
          <w:sz w:val="22"/>
          <w:szCs w:val="22"/>
        </w:rPr>
        <w:t xml:space="preserve"> per cent due to </w:t>
      </w:r>
      <w:r>
        <w:rPr>
          <w:rFonts w:ascii="Palatino Linotype" w:eastAsia="Times New Roman" w:hAnsi="Palatino Linotype"/>
          <w:color w:val="000000"/>
          <w:sz w:val="22"/>
          <w:szCs w:val="22"/>
        </w:rPr>
        <w:t>de</w:t>
      </w:r>
      <w:r w:rsidRPr="00F4237D">
        <w:rPr>
          <w:rFonts w:ascii="Palatino Linotype" w:eastAsia="Times New Roman" w:hAnsi="Palatino Linotype"/>
          <w:color w:val="000000"/>
          <w:sz w:val="22"/>
          <w:szCs w:val="22"/>
        </w:rPr>
        <w:t>crease in future</w:t>
      </w:r>
      <w:r>
        <w:rPr>
          <w:rFonts w:ascii="Palatino Linotype" w:eastAsia="Times New Roman" w:hAnsi="Palatino Linotype"/>
          <w:color w:val="000000"/>
          <w:sz w:val="22"/>
          <w:szCs w:val="22"/>
        </w:rPr>
        <w:t>s</w:t>
      </w:r>
      <w:r w:rsidRPr="00F4237D">
        <w:rPr>
          <w:rFonts w:ascii="Palatino Linotype" w:eastAsia="Times New Roman" w:hAnsi="Palatino Linotype"/>
          <w:color w:val="000000"/>
          <w:sz w:val="22"/>
          <w:szCs w:val="22"/>
        </w:rPr>
        <w:t xml:space="preserve"> prices of </w:t>
      </w:r>
      <w:r>
        <w:rPr>
          <w:rFonts w:ascii="Palatino Linotype" w:eastAsia="Times New Roman" w:hAnsi="Palatino Linotype"/>
          <w:color w:val="000000"/>
          <w:sz w:val="22"/>
          <w:szCs w:val="22"/>
        </w:rPr>
        <w:t xml:space="preserve">both </w:t>
      </w:r>
      <w:r w:rsidRPr="00F4237D">
        <w:rPr>
          <w:rFonts w:ascii="Palatino Linotype" w:eastAsia="Times New Roman" w:hAnsi="Palatino Linotype"/>
          <w:color w:val="000000"/>
          <w:sz w:val="22"/>
          <w:szCs w:val="22"/>
        </w:rPr>
        <w:t xml:space="preserve">gold </w:t>
      </w:r>
      <w:r>
        <w:rPr>
          <w:rFonts w:ascii="Palatino Linotype" w:eastAsia="Times New Roman" w:hAnsi="Palatino Linotype"/>
          <w:color w:val="000000"/>
          <w:sz w:val="22"/>
          <w:szCs w:val="22"/>
        </w:rPr>
        <w:t xml:space="preserve">and silver </w:t>
      </w:r>
      <w:r w:rsidRPr="00F4237D">
        <w:rPr>
          <w:rFonts w:ascii="Palatino Linotype" w:eastAsia="Times New Roman" w:hAnsi="Palatino Linotype"/>
          <w:color w:val="000000"/>
          <w:sz w:val="22"/>
          <w:szCs w:val="22"/>
        </w:rPr>
        <w:t xml:space="preserve">by </w:t>
      </w:r>
      <w:r>
        <w:rPr>
          <w:rFonts w:ascii="Palatino Linotype" w:eastAsia="Times New Roman" w:hAnsi="Palatino Linotype"/>
          <w:color w:val="000000"/>
          <w:sz w:val="22"/>
          <w:szCs w:val="22"/>
        </w:rPr>
        <w:t>2.4 per cent and 5.1 per cent respectively.</w:t>
      </w:r>
      <w:r w:rsidRPr="00F4237D">
        <w:rPr>
          <w:rFonts w:ascii="Palatino Linotype" w:eastAsia="Times New Roman" w:hAnsi="Palatino Linotype"/>
          <w:color w:val="000000"/>
          <w:sz w:val="22"/>
          <w:szCs w:val="22"/>
        </w:rPr>
        <w:t xml:space="preserve"> </w:t>
      </w:r>
    </w:p>
    <w:p w:rsidR="001755DE" w:rsidRPr="00933687" w:rsidRDefault="001755DE" w:rsidP="001755DE">
      <w:pPr>
        <w:pStyle w:val="ListParagraph"/>
        <w:numPr>
          <w:ilvl w:val="0"/>
          <w:numId w:val="27"/>
        </w:numPr>
        <w:tabs>
          <w:tab w:val="left" w:pos="284"/>
        </w:tabs>
        <w:spacing w:after="0" w:line="240" w:lineRule="auto"/>
        <w:ind w:left="284" w:hanging="284"/>
        <w:jc w:val="both"/>
        <w:rPr>
          <w:rFonts w:ascii="Palatino Linotype" w:eastAsia="Times New Roman" w:hAnsi="Palatino Linotype"/>
          <w:color w:val="000000"/>
          <w:sz w:val="22"/>
          <w:szCs w:val="22"/>
        </w:rPr>
      </w:pPr>
      <w:r w:rsidRPr="00F4237D">
        <w:rPr>
          <w:rFonts w:ascii="Palatino Linotype" w:hAnsi="Palatino Linotype"/>
          <w:sz w:val="22"/>
          <w:szCs w:val="22"/>
        </w:rPr>
        <w:t xml:space="preserve">NKrishi index </w:t>
      </w:r>
      <w:r>
        <w:rPr>
          <w:rFonts w:ascii="Palatino Linotype" w:hAnsi="Palatino Linotype"/>
          <w:sz w:val="22"/>
          <w:szCs w:val="22"/>
        </w:rPr>
        <w:t>in</w:t>
      </w:r>
      <w:r w:rsidRPr="00F4237D">
        <w:rPr>
          <w:rFonts w:ascii="Palatino Linotype" w:hAnsi="Palatino Linotype"/>
          <w:sz w:val="22"/>
          <w:szCs w:val="22"/>
        </w:rPr>
        <w:t xml:space="preserve">creased by </w:t>
      </w:r>
      <w:r>
        <w:rPr>
          <w:rFonts w:ascii="Palatino Linotype" w:hAnsi="Palatino Linotype"/>
          <w:sz w:val="22"/>
          <w:szCs w:val="22"/>
        </w:rPr>
        <w:t>8.0</w:t>
      </w:r>
      <w:r w:rsidRPr="00F4237D">
        <w:rPr>
          <w:rFonts w:ascii="Palatino Linotype" w:hAnsi="Palatino Linotype"/>
          <w:sz w:val="22"/>
          <w:szCs w:val="22"/>
        </w:rPr>
        <w:t xml:space="preserve"> per cent (M-o-M) as futures prices of </w:t>
      </w:r>
      <w:r>
        <w:rPr>
          <w:rFonts w:ascii="Palatino Linotype" w:hAnsi="Palatino Linotype"/>
          <w:sz w:val="22"/>
          <w:szCs w:val="22"/>
        </w:rPr>
        <w:t>seven</w:t>
      </w:r>
      <w:r w:rsidRPr="00F4237D">
        <w:rPr>
          <w:rFonts w:ascii="Palatino Linotype" w:hAnsi="Palatino Linotype"/>
          <w:sz w:val="22"/>
          <w:szCs w:val="22"/>
        </w:rPr>
        <w:t xml:space="preserve"> out of 10 </w:t>
      </w:r>
      <w:r w:rsidRPr="00F4237D">
        <w:rPr>
          <w:rFonts w:ascii="Palatino Linotype" w:eastAsia="Times New Roman" w:hAnsi="Palatino Linotype"/>
          <w:color w:val="000000"/>
          <w:sz w:val="22"/>
          <w:szCs w:val="22"/>
        </w:rPr>
        <w:t xml:space="preserve">constituent commodities of the index viz. </w:t>
      </w:r>
      <w:r>
        <w:rPr>
          <w:rFonts w:ascii="Palatino Linotype" w:eastAsia="Times New Roman" w:hAnsi="Palatino Linotype"/>
          <w:color w:val="000000"/>
          <w:sz w:val="22"/>
          <w:szCs w:val="22"/>
        </w:rPr>
        <w:t xml:space="preserve">soybean, chana, turmeric, RM seed, cottonseed oilcake, jeera and castorseed </w:t>
      </w:r>
      <w:r w:rsidRPr="00F4237D">
        <w:rPr>
          <w:rFonts w:ascii="Palatino Linotype" w:eastAsia="Times New Roman" w:hAnsi="Palatino Linotype"/>
          <w:color w:val="000000"/>
          <w:sz w:val="22"/>
          <w:szCs w:val="22"/>
        </w:rPr>
        <w:t xml:space="preserve">witnessed </w:t>
      </w:r>
      <w:r>
        <w:rPr>
          <w:rFonts w:ascii="Palatino Linotype" w:eastAsia="Times New Roman" w:hAnsi="Palatino Linotype"/>
          <w:color w:val="000000"/>
          <w:sz w:val="22"/>
          <w:szCs w:val="22"/>
        </w:rPr>
        <w:t xml:space="preserve">an upend. On Y-o-Y basis, </w:t>
      </w:r>
      <w:r w:rsidRPr="00F4237D">
        <w:rPr>
          <w:rFonts w:ascii="Palatino Linotype" w:eastAsia="Times New Roman" w:hAnsi="Palatino Linotype"/>
          <w:color w:val="000000"/>
          <w:sz w:val="22"/>
          <w:szCs w:val="22"/>
        </w:rPr>
        <w:t xml:space="preserve">NKrishi index increased by </w:t>
      </w:r>
      <w:r>
        <w:rPr>
          <w:rFonts w:ascii="Palatino Linotype" w:eastAsia="Times New Roman" w:hAnsi="Palatino Linotype"/>
          <w:color w:val="000000"/>
          <w:sz w:val="22"/>
          <w:szCs w:val="22"/>
        </w:rPr>
        <w:t>32.5</w:t>
      </w:r>
      <w:r w:rsidRPr="00F4237D">
        <w:rPr>
          <w:rFonts w:ascii="Palatino Linotype" w:eastAsia="Times New Roman" w:hAnsi="Palatino Linotype"/>
          <w:color w:val="000000"/>
          <w:sz w:val="22"/>
          <w:szCs w:val="22"/>
        </w:rPr>
        <w:t xml:space="preserve"> per cent. </w:t>
      </w:r>
      <w:r>
        <w:rPr>
          <w:rFonts w:ascii="Palatino Linotype" w:eastAsia="Times New Roman" w:hAnsi="Palatino Linotype"/>
          <w:color w:val="000000"/>
          <w:sz w:val="22"/>
          <w:szCs w:val="22"/>
        </w:rPr>
        <w:t>In the NKrishi index</w:t>
      </w:r>
      <w:r w:rsidRPr="00FB5485">
        <w:rPr>
          <w:rFonts w:ascii="Palatino Linotype" w:eastAsia="Times New Roman" w:hAnsi="Palatino Linotype"/>
          <w:color w:val="000000"/>
          <w:sz w:val="22"/>
          <w:szCs w:val="22"/>
        </w:rPr>
        <w:t xml:space="preserve"> </w:t>
      </w:r>
      <w:r>
        <w:rPr>
          <w:rFonts w:ascii="Palatino Linotype" w:eastAsia="Times New Roman" w:hAnsi="Palatino Linotype"/>
          <w:color w:val="000000"/>
          <w:sz w:val="22"/>
          <w:szCs w:val="22"/>
        </w:rPr>
        <w:t>as part of rebalancing, barley is replaced by gur contract for the period 1</w:t>
      </w:r>
      <w:r w:rsidRPr="00305039">
        <w:rPr>
          <w:rFonts w:ascii="Palatino Linotype" w:eastAsia="Times New Roman" w:hAnsi="Palatino Linotype"/>
          <w:color w:val="000000"/>
          <w:sz w:val="22"/>
          <w:szCs w:val="22"/>
          <w:vertAlign w:val="superscript"/>
        </w:rPr>
        <w:t>st</w:t>
      </w:r>
      <w:r>
        <w:rPr>
          <w:rFonts w:ascii="Palatino Linotype" w:eastAsia="Times New Roman" w:hAnsi="Palatino Linotype"/>
          <w:color w:val="000000"/>
          <w:sz w:val="22"/>
          <w:szCs w:val="22"/>
        </w:rPr>
        <w:t xml:space="preserve"> April to 30</w:t>
      </w:r>
      <w:r w:rsidRPr="00305039">
        <w:rPr>
          <w:rFonts w:ascii="Palatino Linotype" w:eastAsia="Times New Roman" w:hAnsi="Palatino Linotype"/>
          <w:color w:val="000000"/>
          <w:sz w:val="22"/>
          <w:szCs w:val="22"/>
          <w:vertAlign w:val="superscript"/>
        </w:rPr>
        <w:t>th</w:t>
      </w:r>
      <w:r>
        <w:rPr>
          <w:rFonts w:ascii="Palatino Linotype" w:eastAsia="Times New Roman" w:hAnsi="Palatino Linotype"/>
          <w:color w:val="000000"/>
          <w:sz w:val="22"/>
          <w:szCs w:val="22"/>
        </w:rPr>
        <w:t xml:space="preserve"> June 2021.</w:t>
      </w:r>
    </w:p>
    <w:p w:rsidR="001755DE" w:rsidRPr="00484D1D" w:rsidRDefault="001755DE" w:rsidP="001755DE">
      <w:pPr>
        <w:pStyle w:val="ListParagraph"/>
        <w:numPr>
          <w:ilvl w:val="0"/>
          <w:numId w:val="27"/>
        </w:numPr>
        <w:tabs>
          <w:tab w:val="left" w:pos="426"/>
        </w:tabs>
        <w:spacing w:after="0" w:line="240" w:lineRule="auto"/>
        <w:ind w:left="284" w:hanging="284"/>
        <w:jc w:val="both"/>
        <w:rPr>
          <w:rFonts w:ascii="Palatino Linotype" w:eastAsia="Times New Roman" w:hAnsi="Palatino Linotype"/>
          <w:color w:val="000000"/>
          <w:sz w:val="22"/>
          <w:szCs w:val="22"/>
        </w:rPr>
      </w:pPr>
      <w:r w:rsidRPr="00F4237D">
        <w:rPr>
          <w:rFonts w:ascii="Palatino Linotype" w:eastAsia="Times New Roman" w:hAnsi="Palatino Linotype"/>
          <w:color w:val="000000"/>
          <w:sz w:val="22"/>
          <w:szCs w:val="22"/>
        </w:rPr>
        <w:t xml:space="preserve">Monthly trends in MCX iCOMDEX composite Index and NKrishi Index are </w:t>
      </w:r>
      <w:r>
        <w:rPr>
          <w:rFonts w:ascii="Palatino Linotype" w:eastAsia="Times New Roman" w:hAnsi="Palatino Linotype"/>
          <w:color w:val="000000"/>
          <w:sz w:val="22"/>
          <w:szCs w:val="22"/>
        </w:rPr>
        <w:t>provided</w:t>
      </w:r>
      <w:r w:rsidRPr="00F4237D">
        <w:rPr>
          <w:rFonts w:ascii="Palatino Linotype" w:eastAsia="Times New Roman" w:hAnsi="Palatino Linotype"/>
          <w:color w:val="000000"/>
          <w:sz w:val="22"/>
          <w:szCs w:val="22"/>
        </w:rPr>
        <w:t xml:space="preserve"> in </w:t>
      </w:r>
      <w:r w:rsidRPr="00484D1D">
        <w:rPr>
          <w:rFonts w:ascii="Palatino Linotype" w:eastAsia="Times New Roman" w:hAnsi="Palatino Linotype"/>
          <w:color w:val="000000"/>
          <w:sz w:val="22"/>
          <w:szCs w:val="22"/>
        </w:rPr>
        <w:t>Table 64.</w:t>
      </w:r>
    </w:p>
    <w:p w:rsidR="001755DE" w:rsidRPr="00797A8B" w:rsidRDefault="001755DE" w:rsidP="001755DE">
      <w:pPr>
        <w:pStyle w:val="ListParagraph"/>
        <w:spacing w:after="0" w:line="240" w:lineRule="auto"/>
        <w:ind w:left="426" w:hanging="142"/>
        <w:jc w:val="center"/>
        <w:rPr>
          <w:rFonts w:ascii="Palatino Linotype" w:eastAsia="Times New Roman" w:hAnsi="Palatino Linotype"/>
          <w:b/>
          <w:color w:val="2E74B5"/>
          <w:sz w:val="22"/>
          <w:szCs w:val="22"/>
        </w:rPr>
      </w:pPr>
    </w:p>
    <w:p w:rsidR="001755DE" w:rsidRDefault="001755DE" w:rsidP="001755DE">
      <w:pPr>
        <w:pStyle w:val="ListParagraph"/>
        <w:spacing w:after="0" w:line="240" w:lineRule="auto"/>
        <w:ind w:left="142" w:hanging="142"/>
        <w:jc w:val="center"/>
        <w:rPr>
          <w:rFonts w:ascii="Palatino Linotype" w:eastAsia="Times New Roman" w:hAnsi="Palatino Linotype"/>
          <w:b/>
          <w:sz w:val="22"/>
          <w:szCs w:val="22"/>
        </w:rPr>
      </w:pPr>
      <w:r w:rsidRPr="009B2971">
        <w:rPr>
          <w:rFonts w:ascii="Palatino Linotype" w:eastAsia="Times New Roman" w:hAnsi="Palatino Linotype"/>
          <w:b/>
          <w:sz w:val="22"/>
          <w:szCs w:val="22"/>
        </w:rPr>
        <w:t>Figure 14: Movement of Commodit</w:t>
      </w:r>
      <w:r>
        <w:rPr>
          <w:rFonts w:ascii="Palatino Linotype" w:eastAsia="Times New Roman" w:hAnsi="Palatino Linotype"/>
          <w:b/>
          <w:sz w:val="22"/>
          <w:szCs w:val="22"/>
        </w:rPr>
        <w:t>y</w:t>
      </w:r>
      <w:r w:rsidRPr="009B2971">
        <w:rPr>
          <w:rFonts w:ascii="Palatino Linotype" w:eastAsia="Times New Roman" w:hAnsi="Palatino Linotype"/>
          <w:b/>
          <w:sz w:val="22"/>
          <w:szCs w:val="22"/>
        </w:rPr>
        <w:t xml:space="preserve"> Derivatives Market Indices during </w:t>
      </w:r>
      <w:r>
        <w:rPr>
          <w:rFonts w:ascii="Palatino Linotype" w:eastAsia="Times New Roman" w:hAnsi="Palatino Linotype"/>
          <w:b/>
          <w:sz w:val="22"/>
          <w:szCs w:val="22"/>
        </w:rPr>
        <w:t xml:space="preserve">March </w:t>
      </w:r>
      <w:r w:rsidRPr="009B2971">
        <w:rPr>
          <w:rFonts w:ascii="Palatino Linotype" w:eastAsia="Times New Roman" w:hAnsi="Palatino Linotype"/>
          <w:b/>
          <w:sz w:val="22"/>
          <w:szCs w:val="22"/>
        </w:rPr>
        <w:t>202</w:t>
      </w:r>
      <w:r>
        <w:rPr>
          <w:rFonts w:ascii="Palatino Linotype" w:eastAsia="Times New Roman" w:hAnsi="Palatino Linotype"/>
          <w:b/>
          <w:sz w:val="22"/>
          <w:szCs w:val="22"/>
        </w:rPr>
        <w:t>1</w:t>
      </w:r>
    </w:p>
    <w:p w:rsidR="001755DE" w:rsidRPr="00797A8B" w:rsidRDefault="001755DE" w:rsidP="001755DE">
      <w:pPr>
        <w:pStyle w:val="ListParagraph"/>
        <w:spacing w:after="0" w:line="240" w:lineRule="auto"/>
        <w:ind w:left="142" w:hanging="142"/>
        <w:jc w:val="center"/>
        <w:rPr>
          <w:rFonts w:ascii="Palatino Linotype" w:eastAsia="Times New Roman" w:hAnsi="Palatino Linotype"/>
          <w:b/>
          <w:color w:val="2E74B5"/>
          <w:sz w:val="22"/>
          <w:szCs w:val="22"/>
        </w:rPr>
      </w:pPr>
    </w:p>
    <w:p w:rsidR="001755DE" w:rsidRPr="00797A8B" w:rsidRDefault="001755DE" w:rsidP="001755DE">
      <w:pPr>
        <w:pStyle w:val="ListParagraph"/>
        <w:spacing w:after="0" w:line="240" w:lineRule="auto"/>
        <w:ind w:left="142" w:hanging="142"/>
        <w:jc w:val="center"/>
        <w:rPr>
          <w:rFonts w:ascii="Palatino Linotype" w:eastAsia="Times New Roman" w:hAnsi="Palatino Linotype"/>
          <w:b/>
          <w:color w:val="2E74B5"/>
          <w:sz w:val="22"/>
          <w:szCs w:val="22"/>
        </w:rPr>
      </w:pPr>
      <w:r w:rsidRPr="00797A8B">
        <w:rPr>
          <w:noProof/>
          <w:lang w:val="en-IN" w:eastAsia="en-IN" w:bidi="hi-IN"/>
        </w:rPr>
        <w:drawing>
          <wp:inline distT="0" distB="0" distL="0" distR="0">
            <wp:extent cx="5386705" cy="3208655"/>
            <wp:effectExtent l="0" t="0" r="4445" b="10795"/>
            <wp:docPr id="12"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755DE" w:rsidRDefault="001755DE" w:rsidP="001755DE">
      <w:pPr>
        <w:pStyle w:val="ListParagraph"/>
        <w:spacing w:after="0" w:line="480" w:lineRule="auto"/>
        <w:ind w:left="-426"/>
        <w:rPr>
          <w:rFonts w:ascii="Palatino Linotype" w:hAnsi="Palatino Linotype" w:cs="Arial"/>
          <w:b/>
          <w:bCs/>
          <w:sz w:val="22"/>
          <w:szCs w:val="22"/>
        </w:rPr>
      </w:pPr>
      <w:r w:rsidRPr="00B92D2D">
        <w:rPr>
          <w:rFonts w:ascii="Palatino Linotype" w:hAnsi="Palatino Linotype" w:cs="Arial"/>
          <w:b/>
          <w:bCs/>
          <w:sz w:val="22"/>
          <w:szCs w:val="22"/>
        </w:rPr>
        <w:t xml:space="preserve">             </w:t>
      </w:r>
      <w:r>
        <w:rPr>
          <w:rFonts w:ascii="Palatino Linotype" w:hAnsi="Palatino Linotype" w:cs="Arial"/>
          <w:b/>
          <w:bCs/>
          <w:sz w:val="22"/>
          <w:szCs w:val="22"/>
        </w:rPr>
        <w:t xml:space="preserve">             </w:t>
      </w:r>
      <w:r w:rsidRPr="009B2971">
        <w:rPr>
          <w:rFonts w:ascii="Palatino Linotype" w:hAnsi="Palatino Linotype" w:cs="Arial"/>
          <w:b/>
          <w:bCs/>
          <w:sz w:val="18"/>
          <w:szCs w:val="18"/>
        </w:rPr>
        <w:t>Source: MCX and NCDEX</w:t>
      </w:r>
    </w:p>
    <w:p w:rsidR="001755DE" w:rsidRDefault="001755DE" w:rsidP="001755DE">
      <w:pPr>
        <w:pStyle w:val="ListParagraph"/>
        <w:spacing w:after="0" w:line="480" w:lineRule="auto"/>
        <w:ind w:left="-426"/>
        <w:rPr>
          <w:rFonts w:ascii="Palatino Linotype" w:hAnsi="Palatino Linotype" w:cs="Arial"/>
          <w:b/>
          <w:bCs/>
          <w:sz w:val="22"/>
          <w:szCs w:val="22"/>
        </w:rPr>
      </w:pPr>
    </w:p>
    <w:p w:rsidR="001755DE" w:rsidRDefault="001755DE" w:rsidP="001755DE">
      <w:pPr>
        <w:pStyle w:val="ListParagraph"/>
        <w:tabs>
          <w:tab w:val="left" w:pos="3360"/>
        </w:tabs>
        <w:spacing w:after="0" w:line="480" w:lineRule="auto"/>
        <w:ind w:left="-426"/>
        <w:rPr>
          <w:rFonts w:ascii="Palatino Linotype" w:hAnsi="Palatino Linotype" w:cs="Arial"/>
          <w:b/>
          <w:bCs/>
          <w:sz w:val="22"/>
          <w:szCs w:val="22"/>
        </w:rPr>
      </w:pPr>
      <w:r>
        <w:rPr>
          <w:rFonts w:ascii="Palatino Linotype" w:hAnsi="Palatino Linotype" w:cs="Arial"/>
          <w:b/>
          <w:bCs/>
          <w:sz w:val="22"/>
          <w:szCs w:val="22"/>
        </w:rPr>
        <w:tab/>
      </w:r>
    </w:p>
    <w:p w:rsidR="001755DE" w:rsidRDefault="001755DE" w:rsidP="001755DE">
      <w:pPr>
        <w:ind w:left="-426"/>
        <w:jc w:val="both"/>
        <w:rPr>
          <w:rFonts w:ascii="Palatino Linotype" w:hAnsi="Palatino Linotype" w:cs="Arial"/>
          <w:b/>
          <w:bCs/>
        </w:rPr>
      </w:pPr>
      <w:r>
        <w:rPr>
          <w:rFonts w:ascii="Palatino Linotype" w:hAnsi="Palatino Linotype" w:cs="Arial"/>
          <w:b/>
          <w:bCs/>
        </w:rPr>
        <w:t xml:space="preserve">   </w:t>
      </w:r>
    </w:p>
    <w:p w:rsidR="001755DE" w:rsidRDefault="001755DE" w:rsidP="001755DE">
      <w:pPr>
        <w:ind w:left="-426"/>
        <w:jc w:val="both"/>
        <w:rPr>
          <w:rFonts w:ascii="Palatino Linotype" w:hAnsi="Palatino Linotype" w:cs="Arial"/>
          <w:b/>
          <w:bCs/>
        </w:rPr>
      </w:pPr>
    </w:p>
    <w:p w:rsidR="001755DE" w:rsidRDefault="001755DE" w:rsidP="001755DE">
      <w:pPr>
        <w:ind w:left="-426"/>
        <w:jc w:val="both"/>
        <w:rPr>
          <w:rFonts w:ascii="Palatino Linotype" w:hAnsi="Palatino Linotype" w:cs="Arial"/>
          <w:b/>
          <w:bCs/>
        </w:rPr>
      </w:pPr>
    </w:p>
    <w:p w:rsidR="001755DE" w:rsidRDefault="001755DE" w:rsidP="001755DE">
      <w:pPr>
        <w:ind w:left="-426"/>
        <w:jc w:val="both"/>
        <w:rPr>
          <w:rFonts w:ascii="Palatino Linotype" w:hAnsi="Palatino Linotype" w:cs="Arial"/>
          <w:b/>
          <w:bCs/>
        </w:rPr>
      </w:pPr>
    </w:p>
    <w:p w:rsidR="001755DE" w:rsidRDefault="001755DE" w:rsidP="001755DE">
      <w:pPr>
        <w:ind w:left="-426"/>
        <w:jc w:val="both"/>
        <w:rPr>
          <w:rFonts w:ascii="Palatino Linotype" w:hAnsi="Palatino Linotype" w:cs="Arial"/>
          <w:b/>
          <w:bCs/>
        </w:rPr>
      </w:pPr>
      <w:r>
        <w:rPr>
          <w:rFonts w:ascii="Palatino Linotype" w:hAnsi="Palatino Linotype" w:cs="Arial"/>
          <w:b/>
          <w:bCs/>
        </w:rPr>
        <w:t xml:space="preserve">          </w:t>
      </w:r>
      <w:r w:rsidRPr="00B92D2D">
        <w:rPr>
          <w:rFonts w:ascii="Palatino Linotype" w:hAnsi="Palatino Linotype" w:cs="Arial"/>
          <w:b/>
          <w:bCs/>
        </w:rPr>
        <w:t xml:space="preserve">Table </w:t>
      </w:r>
      <w:r>
        <w:rPr>
          <w:rFonts w:ascii="Palatino Linotype" w:hAnsi="Palatino Linotype" w:cs="Arial"/>
          <w:b/>
          <w:bCs/>
        </w:rPr>
        <w:t>4</w:t>
      </w:r>
      <w:r w:rsidRPr="00B92D2D">
        <w:rPr>
          <w:rFonts w:ascii="Palatino Linotype" w:hAnsi="Palatino Linotype" w:cs="Arial"/>
          <w:b/>
          <w:bCs/>
        </w:rPr>
        <w:t>: Snapshot of Indian Commodit</w:t>
      </w:r>
      <w:r>
        <w:rPr>
          <w:rFonts w:ascii="Palatino Linotype" w:hAnsi="Palatino Linotype" w:cs="Arial"/>
          <w:b/>
          <w:bCs/>
        </w:rPr>
        <w:t>y</w:t>
      </w:r>
      <w:r w:rsidRPr="00B92D2D">
        <w:rPr>
          <w:rFonts w:ascii="Palatino Linotype" w:hAnsi="Palatino Linotype" w:cs="Arial"/>
          <w:b/>
          <w:bCs/>
        </w:rPr>
        <w:t xml:space="preserve"> Derivative</w:t>
      </w:r>
      <w:r>
        <w:rPr>
          <w:rFonts w:ascii="Palatino Linotype" w:hAnsi="Palatino Linotype" w:cs="Arial"/>
          <w:b/>
          <w:bCs/>
        </w:rPr>
        <w:t>s</w:t>
      </w:r>
      <w:r w:rsidRPr="00B92D2D">
        <w:rPr>
          <w:rFonts w:ascii="Palatino Linotype" w:hAnsi="Palatino Linotype" w:cs="Arial"/>
          <w:b/>
          <w:bCs/>
        </w:rPr>
        <w:t xml:space="preserve"> Markets</w:t>
      </w:r>
    </w:p>
    <w:p w:rsidR="001755DE" w:rsidRPr="00B92D2D" w:rsidRDefault="001755DE" w:rsidP="001755DE">
      <w:pPr>
        <w:ind w:left="-426"/>
        <w:jc w:val="both"/>
        <w:rPr>
          <w:rFonts w:ascii="Palatino Linotype" w:hAnsi="Palatino Linotype" w:cs="Arial"/>
          <w:b/>
          <w:bCs/>
        </w:rPr>
      </w:pPr>
    </w:p>
    <w:tbl>
      <w:tblPr>
        <w:tblpPr w:leftFromText="180" w:rightFromText="180" w:vertAnchor="text" w:tblpXSpec="center" w:tblpY="1"/>
        <w:tblOverlap w:val="never"/>
        <w:tblW w:w="8784" w:type="dxa"/>
        <w:jc w:val="center"/>
        <w:tblLook w:val="04A0" w:firstRow="1" w:lastRow="0" w:firstColumn="1" w:lastColumn="0" w:noHBand="0" w:noVBand="1"/>
      </w:tblPr>
      <w:tblGrid>
        <w:gridCol w:w="3271"/>
        <w:gridCol w:w="1128"/>
        <w:gridCol w:w="1236"/>
        <w:gridCol w:w="1319"/>
        <w:gridCol w:w="1830"/>
      </w:tblGrid>
      <w:tr w:rsidR="001755DE" w:rsidRPr="00797A8B" w:rsidTr="00A91C39">
        <w:trPr>
          <w:trHeight w:val="699"/>
          <w:jc w:val="center"/>
        </w:trPr>
        <w:tc>
          <w:tcPr>
            <w:tcW w:w="3271" w:type="dxa"/>
            <w:tcBorders>
              <w:top w:val="single" w:sz="4" w:space="0" w:color="auto"/>
              <w:left w:val="single" w:sz="4" w:space="0" w:color="auto"/>
              <w:bottom w:val="single" w:sz="4" w:space="0" w:color="auto"/>
              <w:right w:val="single" w:sz="4" w:space="0" w:color="auto"/>
            </w:tcBorders>
            <w:shd w:val="clear" w:color="auto" w:fill="auto"/>
            <w:noWrap/>
            <w:hideMark/>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Items</w:t>
            </w:r>
          </w:p>
        </w:tc>
        <w:tc>
          <w:tcPr>
            <w:tcW w:w="1128" w:type="dxa"/>
            <w:tcBorders>
              <w:top w:val="single" w:sz="4" w:space="0" w:color="auto"/>
              <w:left w:val="single" w:sz="4" w:space="0" w:color="auto"/>
              <w:bottom w:val="single" w:sz="4" w:space="0" w:color="auto"/>
              <w:right w:val="single" w:sz="4" w:space="0" w:color="auto"/>
            </w:tcBorders>
            <w:shd w:val="clear" w:color="auto" w:fill="auto"/>
            <w:noWrap/>
            <w:hideMark/>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2019-20</w:t>
            </w:r>
          </w:p>
        </w:tc>
        <w:tc>
          <w:tcPr>
            <w:tcW w:w="1236" w:type="dxa"/>
            <w:tcBorders>
              <w:top w:val="single" w:sz="4" w:space="0" w:color="auto"/>
              <w:left w:val="single" w:sz="4" w:space="0" w:color="auto"/>
              <w:right w:val="single" w:sz="4" w:space="0" w:color="auto"/>
            </w:tcBorders>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Feb- 2021</w:t>
            </w:r>
          </w:p>
        </w:tc>
        <w:tc>
          <w:tcPr>
            <w:tcW w:w="1319" w:type="dxa"/>
            <w:tcBorders>
              <w:top w:val="single" w:sz="4" w:space="0" w:color="auto"/>
              <w:left w:val="single" w:sz="4" w:space="0" w:color="auto"/>
              <w:bottom w:val="single" w:sz="4" w:space="0" w:color="auto"/>
              <w:right w:val="single" w:sz="4" w:space="0" w:color="auto"/>
            </w:tcBorders>
            <w:shd w:val="clear" w:color="auto" w:fill="auto"/>
            <w:noWrap/>
            <w:hideMark/>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Mar -2021</w:t>
            </w:r>
          </w:p>
        </w:tc>
        <w:tc>
          <w:tcPr>
            <w:tcW w:w="1830" w:type="dxa"/>
            <w:tcBorders>
              <w:top w:val="single" w:sz="4" w:space="0" w:color="auto"/>
              <w:left w:val="single" w:sz="4" w:space="0" w:color="auto"/>
              <w:bottom w:val="single" w:sz="4" w:space="0" w:color="000000"/>
              <w:right w:val="single" w:sz="4" w:space="0" w:color="auto"/>
            </w:tcBorders>
            <w:shd w:val="clear" w:color="auto" w:fill="auto"/>
            <w:hideMark/>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 xml:space="preserve">Percentage variation </w:t>
            </w:r>
          </w:p>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M-o-M</w:t>
            </w:r>
          </w:p>
        </w:tc>
      </w:tr>
      <w:tr w:rsidR="001755DE" w:rsidRPr="00797A8B" w:rsidTr="00A91C39">
        <w:trPr>
          <w:trHeight w:val="367"/>
          <w:jc w:val="center"/>
        </w:trPr>
        <w:tc>
          <w:tcPr>
            <w:tcW w:w="8784" w:type="dxa"/>
            <w:gridSpan w:val="5"/>
            <w:tcBorders>
              <w:top w:val="single" w:sz="4" w:space="0" w:color="auto"/>
              <w:left w:val="single" w:sz="4" w:space="0" w:color="auto"/>
              <w:bottom w:val="single" w:sz="4" w:space="0" w:color="auto"/>
              <w:right w:val="single" w:sz="4" w:space="0" w:color="auto"/>
            </w:tcBorders>
            <w:shd w:val="clear" w:color="auto" w:fill="auto"/>
            <w:noWrap/>
          </w:tcPr>
          <w:p w:rsidR="001755DE" w:rsidRPr="00DF31BD" w:rsidRDefault="001755DE" w:rsidP="00A91C39">
            <w:pPr>
              <w:pStyle w:val="ListParagraph"/>
              <w:numPr>
                <w:ilvl w:val="0"/>
                <w:numId w:val="25"/>
              </w:numPr>
              <w:spacing w:after="0" w:line="240" w:lineRule="auto"/>
              <w:ind w:left="317" w:hanging="284"/>
              <w:rPr>
                <w:rFonts w:ascii="Palatino Linotype" w:hAnsi="Palatino Linotype" w:cs="Arial"/>
                <w:b/>
                <w:bCs/>
                <w:sz w:val="18"/>
                <w:szCs w:val="18"/>
              </w:rPr>
            </w:pPr>
            <w:r w:rsidRPr="00DF31BD">
              <w:rPr>
                <w:rFonts w:ascii="Palatino Linotype" w:hAnsi="Palatino Linotype" w:cs="Arial"/>
                <w:b/>
                <w:bCs/>
                <w:sz w:val="18"/>
                <w:szCs w:val="18"/>
              </w:rPr>
              <w:t>Indices</w:t>
            </w:r>
          </w:p>
        </w:tc>
      </w:tr>
      <w:tr w:rsidR="001755DE" w:rsidRPr="00797A8B" w:rsidTr="00A91C39">
        <w:trPr>
          <w:trHeight w:val="154"/>
          <w:jc w:val="center"/>
        </w:trPr>
        <w:tc>
          <w:tcPr>
            <w:tcW w:w="3271" w:type="dxa"/>
            <w:tcBorders>
              <w:top w:val="nil"/>
              <w:left w:val="single" w:sz="4" w:space="0" w:color="auto"/>
              <w:bottom w:val="single" w:sz="4" w:space="0" w:color="auto"/>
              <w:right w:val="single" w:sz="4" w:space="0" w:color="auto"/>
            </w:tcBorders>
            <w:shd w:val="clear" w:color="auto" w:fill="auto"/>
            <w:noWrap/>
            <w:hideMark/>
          </w:tcPr>
          <w:p w:rsidR="001755DE" w:rsidRPr="00797A8B" w:rsidRDefault="001755DE" w:rsidP="00A91C39">
            <w:pPr>
              <w:rPr>
                <w:rFonts w:ascii="Palatino Linotype" w:hAnsi="Palatino Linotype" w:cs="Arial"/>
                <w:bCs/>
                <w:sz w:val="18"/>
                <w:szCs w:val="18"/>
              </w:rPr>
            </w:pPr>
            <w:r w:rsidRPr="00797A8B">
              <w:rPr>
                <w:rFonts w:ascii="Palatino Linotype" w:hAnsi="Palatino Linotype" w:cs="Arial"/>
                <w:bCs/>
                <w:sz w:val="18"/>
                <w:szCs w:val="18"/>
              </w:rPr>
              <w:t>Nkrishi</w:t>
            </w:r>
          </w:p>
        </w:tc>
        <w:tc>
          <w:tcPr>
            <w:tcW w:w="1128" w:type="dxa"/>
            <w:tcBorders>
              <w:top w:val="nil"/>
              <w:left w:val="nil"/>
              <w:bottom w:val="single" w:sz="4" w:space="0" w:color="auto"/>
              <w:right w:val="single" w:sz="4" w:space="0" w:color="auto"/>
            </w:tcBorders>
            <w:shd w:val="clear" w:color="auto" w:fill="auto"/>
            <w:noWrap/>
            <w:hideMark/>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 3,179.9</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3,900.6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4,213.4</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8.0</w:t>
            </w:r>
          </w:p>
        </w:tc>
      </w:tr>
      <w:tr w:rsidR="001755DE" w:rsidRPr="00797A8B" w:rsidTr="00A91C39">
        <w:trPr>
          <w:trHeight w:val="224"/>
          <w:jc w:val="center"/>
        </w:trPr>
        <w:tc>
          <w:tcPr>
            <w:tcW w:w="3271"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rPr>
                <w:rFonts w:ascii="Palatino Linotype" w:hAnsi="Palatino Linotype" w:cs="Arial"/>
                <w:bCs/>
                <w:sz w:val="18"/>
                <w:szCs w:val="18"/>
              </w:rPr>
            </w:pPr>
            <w:r w:rsidRPr="00797A8B">
              <w:rPr>
                <w:rFonts w:ascii="Palatino Linotype" w:hAnsi="Palatino Linotype" w:cs="Arial"/>
                <w:bCs/>
                <w:sz w:val="18"/>
                <w:szCs w:val="18"/>
              </w:rPr>
              <w:t>MCX iCOMDEX</w:t>
            </w:r>
          </w:p>
        </w:tc>
        <w:tc>
          <w:tcPr>
            <w:tcW w:w="1128"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8,255.5</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10,920.0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10,415.1</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-4.6</w:t>
            </w:r>
          </w:p>
        </w:tc>
      </w:tr>
      <w:tr w:rsidR="001755DE" w:rsidRPr="00797A8B" w:rsidTr="00A91C39">
        <w:trPr>
          <w:trHeight w:val="224"/>
          <w:jc w:val="center"/>
        </w:trPr>
        <w:tc>
          <w:tcPr>
            <w:tcW w:w="8784" w:type="dxa"/>
            <w:gridSpan w:val="5"/>
            <w:tcBorders>
              <w:top w:val="nil"/>
              <w:left w:val="single" w:sz="4" w:space="0" w:color="auto"/>
              <w:bottom w:val="single" w:sz="4" w:space="0" w:color="auto"/>
              <w:right w:val="single" w:sz="4" w:space="0" w:color="auto"/>
            </w:tcBorders>
            <w:shd w:val="clear" w:color="auto" w:fill="auto"/>
            <w:noWrap/>
          </w:tcPr>
          <w:p w:rsidR="001755DE" w:rsidRPr="00DF31BD" w:rsidRDefault="001755DE" w:rsidP="00A91C39">
            <w:pPr>
              <w:pStyle w:val="ListParagraph"/>
              <w:numPr>
                <w:ilvl w:val="0"/>
                <w:numId w:val="25"/>
              </w:numPr>
              <w:spacing w:after="0" w:line="240" w:lineRule="auto"/>
              <w:ind w:left="317" w:hanging="317"/>
              <w:rPr>
                <w:rFonts w:ascii="Palatino Linotype" w:hAnsi="Palatino Linotype" w:cs="Arial"/>
                <w:bCs/>
                <w:sz w:val="18"/>
                <w:szCs w:val="18"/>
              </w:rPr>
            </w:pPr>
            <w:r w:rsidRPr="00DF31BD">
              <w:rPr>
                <w:rFonts w:ascii="Palatino Linotype" w:hAnsi="Palatino Linotype" w:cs="Arial"/>
                <w:b/>
                <w:bCs/>
                <w:sz w:val="18"/>
                <w:szCs w:val="18"/>
              </w:rPr>
              <w:t>Turnover (</w:t>
            </w:r>
            <w:r w:rsidRPr="00DF31BD">
              <w:rPr>
                <w:rFonts w:ascii="Times New Roman" w:hAnsi="Times New Roman"/>
                <w:b/>
                <w:bCs/>
                <w:sz w:val="18"/>
                <w:szCs w:val="18"/>
              </w:rPr>
              <w:t>₹</w:t>
            </w:r>
            <w:r w:rsidRPr="00DF31BD">
              <w:rPr>
                <w:rFonts w:ascii="Palatino Linotype" w:hAnsi="Palatino Linotype" w:cs="Arial"/>
                <w:b/>
                <w:bCs/>
                <w:sz w:val="18"/>
                <w:szCs w:val="18"/>
              </w:rPr>
              <w:t>crore)</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hideMark/>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All-India</w:t>
            </w:r>
          </w:p>
        </w:tc>
        <w:tc>
          <w:tcPr>
            <w:tcW w:w="1128" w:type="dxa"/>
            <w:tcBorders>
              <w:top w:val="nil"/>
              <w:left w:val="single" w:sz="4" w:space="0" w:color="auto"/>
              <w:bottom w:val="single" w:sz="4" w:space="0" w:color="auto"/>
              <w:right w:val="single" w:sz="4" w:space="0" w:color="auto"/>
            </w:tcBorders>
            <w:shd w:val="clear" w:color="auto" w:fill="auto"/>
            <w:noWrap/>
            <w:hideMark/>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92,24,839.9</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8,59,820.8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7,63,984.3</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-11.1</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MCX, of which</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tabs>
                <w:tab w:val="right" w:pos="912"/>
              </w:tabs>
              <w:rPr>
                <w:rFonts w:ascii="Palatino Linotype" w:hAnsi="Palatino Linotype" w:cs="Arial"/>
                <w:b/>
                <w:bCs/>
                <w:sz w:val="18"/>
                <w:szCs w:val="18"/>
              </w:rPr>
            </w:pPr>
            <w:r w:rsidRPr="00797A8B">
              <w:rPr>
                <w:rFonts w:ascii="Palatino Linotype" w:hAnsi="Palatino Linotype" w:cs="Arial"/>
                <w:b/>
                <w:bCs/>
                <w:sz w:val="18"/>
                <w:szCs w:val="18"/>
              </w:rPr>
              <w:t xml:space="preserve"> 86,89,517.6</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tabs>
                <w:tab w:val="center" w:pos="551"/>
              </w:tabs>
              <w:jc w:val="right"/>
              <w:rPr>
                <w:rFonts w:ascii="Palatino Linotype" w:hAnsi="Palatino Linotype" w:cs="Arial"/>
                <w:b/>
                <w:bCs/>
                <w:sz w:val="18"/>
                <w:szCs w:val="18"/>
              </w:rPr>
            </w:pPr>
            <w:r w:rsidRPr="00797A8B">
              <w:rPr>
                <w:rFonts w:ascii="Palatino Linotype" w:hAnsi="Palatino Linotype" w:cs="Arial"/>
                <w:b/>
                <w:bCs/>
                <w:sz w:val="18"/>
                <w:szCs w:val="18"/>
              </w:rPr>
              <w:t>7,61,784.1</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tabs>
                <w:tab w:val="center" w:pos="551"/>
              </w:tabs>
              <w:jc w:val="right"/>
              <w:rPr>
                <w:rFonts w:ascii="Palatino Linotype" w:hAnsi="Palatino Linotype" w:cs="Arial"/>
                <w:b/>
                <w:bCs/>
                <w:sz w:val="18"/>
                <w:szCs w:val="18"/>
              </w:rPr>
            </w:pPr>
            <w:r w:rsidRPr="00797A8B">
              <w:rPr>
                <w:rFonts w:ascii="Palatino Linotype" w:hAnsi="Palatino Linotype" w:cs="Arial"/>
                <w:b/>
                <w:bCs/>
                <w:sz w:val="18"/>
                <w:szCs w:val="18"/>
              </w:rPr>
              <w:t>6,45,443.3</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-15.3</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83,97,775.0</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7,44,627.8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6,16,493.4</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-17.2</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 xml:space="preserve">  2,91,742.7 </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17,156.3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28,949.9</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68.7</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
                <w:bCs/>
                <w:sz w:val="18"/>
                <w:szCs w:val="18"/>
              </w:rPr>
              <w:t>BSE, of which</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
                <w:bCs/>
                <w:sz w:val="18"/>
                <w:szCs w:val="18"/>
              </w:rPr>
              <w:t xml:space="preserve">46,438.7     </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
                <w:sz w:val="18"/>
                <w:szCs w:val="18"/>
              </w:rPr>
            </w:pPr>
            <w:r w:rsidRPr="00797A8B">
              <w:rPr>
                <w:rFonts w:ascii="Palatino Linotype" w:hAnsi="Palatino Linotype" w:cs="Arial"/>
                <w:b/>
                <w:sz w:val="18"/>
                <w:szCs w:val="18"/>
              </w:rPr>
              <w:t>65,180.3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sz w:val="18"/>
                <w:szCs w:val="18"/>
              </w:rPr>
            </w:pPr>
            <w:r w:rsidRPr="00797A8B">
              <w:rPr>
                <w:rFonts w:ascii="Palatino Linotype" w:hAnsi="Palatino Linotype" w:cs="Arial"/>
                <w:b/>
                <w:sz w:val="18"/>
                <w:szCs w:val="18"/>
              </w:rPr>
              <w:t>71,708.5</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sz w:val="18"/>
                <w:szCs w:val="18"/>
              </w:rPr>
            </w:pPr>
            <w:r w:rsidRPr="00797A8B">
              <w:rPr>
                <w:rFonts w:ascii="Palatino Linotype" w:hAnsi="Palatino Linotype" w:cs="Arial"/>
                <w:b/>
                <w:sz w:val="18"/>
                <w:szCs w:val="18"/>
              </w:rPr>
              <w:t>10.0</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sz w:val="18"/>
                <w:szCs w:val="18"/>
              </w:rPr>
              <w:t xml:space="preserve">46,438.7     </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93.0</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127.1</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36.7</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65,087.3</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71,581.4</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10.0</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NCDEX, of which</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4,42,009.1</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30,799.8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43,920.0</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42.6</w:t>
            </w:r>
          </w:p>
        </w:tc>
      </w:tr>
      <w:tr w:rsidR="001755DE" w:rsidRPr="00797A8B" w:rsidTr="00A91C39">
        <w:trPr>
          <w:trHeight w:val="310"/>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 xml:space="preserve"> 4,41,967.0</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30,798.6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43,919.0</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42.6</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 xml:space="preserve">            42.2 </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tabs>
                <w:tab w:val="left" w:pos="252"/>
                <w:tab w:val="center" w:pos="551"/>
              </w:tabs>
              <w:jc w:val="right"/>
              <w:rPr>
                <w:rFonts w:ascii="Palatino Linotype" w:hAnsi="Palatino Linotype" w:cs="Arial"/>
                <w:bCs/>
                <w:sz w:val="18"/>
                <w:szCs w:val="18"/>
              </w:rPr>
            </w:pPr>
            <w:r w:rsidRPr="00797A8B">
              <w:rPr>
                <w:rFonts w:ascii="Palatino Linotype" w:hAnsi="Palatino Linotype" w:cs="Arial"/>
                <w:bCs/>
                <w:sz w:val="18"/>
                <w:szCs w:val="18"/>
              </w:rPr>
              <w:t>1.2</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tabs>
                <w:tab w:val="left" w:pos="252"/>
                <w:tab w:val="center" w:pos="551"/>
              </w:tabs>
              <w:jc w:val="right"/>
              <w:rPr>
                <w:rFonts w:ascii="Palatino Linotype" w:hAnsi="Palatino Linotype" w:cs="Arial"/>
                <w:bCs/>
                <w:sz w:val="18"/>
                <w:szCs w:val="18"/>
              </w:rPr>
            </w:pPr>
            <w:r w:rsidRPr="00797A8B">
              <w:rPr>
                <w:rFonts w:ascii="Palatino Linotype" w:hAnsi="Palatino Linotype" w:cs="Arial"/>
                <w:bCs/>
                <w:sz w:val="18"/>
                <w:szCs w:val="18"/>
              </w:rPr>
              <w:t>1.0</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-16.0</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
                <w:bCs/>
                <w:sz w:val="18"/>
                <w:szCs w:val="18"/>
              </w:rPr>
              <w:t>NSE, of which</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
                <w:bCs/>
                <w:sz w:val="18"/>
                <w:szCs w:val="18"/>
              </w:rPr>
              <w:t xml:space="preserve">       6,362.0 </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tabs>
                <w:tab w:val="left" w:pos="252"/>
                <w:tab w:val="center" w:pos="551"/>
              </w:tabs>
              <w:jc w:val="right"/>
              <w:rPr>
                <w:rFonts w:ascii="Palatino Linotype" w:hAnsi="Palatino Linotype" w:cs="Arial"/>
                <w:b/>
                <w:sz w:val="18"/>
                <w:szCs w:val="18"/>
              </w:rPr>
            </w:pPr>
            <w:r w:rsidRPr="00797A8B">
              <w:rPr>
                <w:rFonts w:ascii="Palatino Linotype" w:hAnsi="Palatino Linotype" w:cs="Arial"/>
                <w:b/>
                <w:sz w:val="18"/>
                <w:szCs w:val="18"/>
              </w:rPr>
              <w:t>2,038.4</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tabs>
                <w:tab w:val="left" w:pos="252"/>
                <w:tab w:val="center" w:pos="551"/>
              </w:tabs>
              <w:jc w:val="right"/>
              <w:rPr>
                <w:rFonts w:ascii="Palatino Linotype" w:hAnsi="Palatino Linotype" w:cs="Arial"/>
                <w:b/>
                <w:sz w:val="18"/>
                <w:szCs w:val="18"/>
              </w:rPr>
            </w:pPr>
            <w:r w:rsidRPr="00797A8B">
              <w:rPr>
                <w:rFonts w:ascii="Palatino Linotype" w:hAnsi="Palatino Linotype" w:cs="Arial"/>
                <w:b/>
                <w:sz w:val="18"/>
                <w:szCs w:val="18"/>
              </w:rPr>
              <w:t>2,890.0</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sz w:val="18"/>
                <w:szCs w:val="18"/>
              </w:rPr>
            </w:pPr>
            <w:r w:rsidRPr="00797A8B">
              <w:rPr>
                <w:rFonts w:ascii="Palatino Linotype" w:hAnsi="Palatino Linotype" w:cs="Arial"/>
                <w:b/>
                <w:sz w:val="18"/>
                <w:szCs w:val="18"/>
              </w:rPr>
              <w:t>41.8</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Cs/>
                <w:i/>
                <w:sz w:val="18"/>
                <w:szCs w:val="18"/>
              </w:rPr>
              <w:t xml:space="preserve">             Futures</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sz w:val="18"/>
                <w:szCs w:val="18"/>
              </w:rPr>
              <w:t xml:space="preserve">       6,362.0</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tabs>
                <w:tab w:val="left" w:pos="252"/>
                <w:tab w:val="center" w:pos="551"/>
              </w:tabs>
              <w:jc w:val="right"/>
              <w:rPr>
                <w:rFonts w:ascii="Palatino Linotype" w:hAnsi="Palatino Linotype" w:cs="Arial"/>
                <w:bCs/>
                <w:sz w:val="18"/>
                <w:szCs w:val="18"/>
              </w:rPr>
            </w:pPr>
            <w:r w:rsidRPr="00797A8B">
              <w:rPr>
                <w:rFonts w:ascii="Palatino Linotype" w:hAnsi="Palatino Linotype" w:cs="Arial"/>
                <w:bCs/>
                <w:sz w:val="18"/>
                <w:szCs w:val="18"/>
              </w:rPr>
              <w:t>934.6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tabs>
                <w:tab w:val="left" w:pos="252"/>
                <w:tab w:val="center" w:pos="551"/>
              </w:tabs>
              <w:jc w:val="right"/>
              <w:rPr>
                <w:rFonts w:ascii="Palatino Linotype" w:hAnsi="Palatino Linotype" w:cs="Arial"/>
                <w:bCs/>
                <w:sz w:val="18"/>
                <w:szCs w:val="18"/>
              </w:rPr>
            </w:pPr>
            <w:r w:rsidRPr="00797A8B">
              <w:rPr>
                <w:rFonts w:ascii="Palatino Linotype" w:hAnsi="Palatino Linotype" w:cs="Arial"/>
                <w:bCs/>
                <w:sz w:val="18"/>
                <w:szCs w:val="18"/>
              </w:rPr>
              <w:t>1,684.0</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80.2</w:t>
            </w:r>
          </w:p>
        </w:tc>
      </w:tr>
      <w:tr w:rsidR="001755DE" w:rsidRPr="00797A8B" w:rsidTr="00A91C39">
        <w:trPr>
          <w:trHeight w:val="308"/>
          <w:jc w:val="center"/>
        </w:trPr>
        <w:tc>
          <w:tcPr>
            <w:tcW w:w="3271" w:type="dxa"/>
            <w:tcBorders>
              <w:top w:val="nil"/>
              <w:left w:val="single" w:sz="4" w:space="0" w:color="auto"/>
              <w:bottom w:val="single" w:sz="4" w:space="0" w:color="auto"/>
              <w:right w:val="nil"/>
            </w:tcBorders>
            <w:shd w:val="clear" w:color="auto" w:fill="auto"/>
            <w:noWrap/>
          </w:tcPr>
          <w:p w:rsidR="001755DE" w:rsidRPr="00797A8B" w:rsidRDefault="001755DE" w:rsidP="00A91C39">
            <w:pPr>
              <w:rPr>
                <w:rFonts w:ascii="Palatino Linotype" w:hAnsi="Palatino Linotype" w:cs="Arial"/>
                <w:bCs/>
                <w:i/>
                <w:sz w:val="18"/>
                <w:szCs w:val="18"/>
              </w:rPr>
            </w:pPr>
            <w:r w:rsidRPr="00797A8B">
              <w:rPr>
                <w:rFonts w:ascii="Palatino Linotype" w:hAnsi="Palatino Linotype" w:cs="Arial"/>
                <w:bCs/>
                <w:i/>
                <w:sz w:val="18"/>
                <w:szCs w:val="18"/>
              </w:rPr>
              <w:t xml:space="preserve">            Options</w:t>
            </w:r>
          </w:p>
        </w:tc>
        <w:tc>
          <w:tcPr>
            <w:tcW w:w="1128" w:type="dxa"/>
            <w:tcBorders>
              <w:top w:val="nil"/>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
                <w:bCs/>
                <w:sz w:val="18"/>
                <w:szCs w:val="18"/>
              </w:rPr>
              <w:t>-</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tabs>
                <w:tab w:val="left" w:pos="252"/>
                <w:tab w:val="center" w:pos="551"/>
              </w:tabs>
              <w:jc w:val="right"/>
              <w:rPr>
                <w:rFonts w:ascii="Palatino Linotype" w:hAnsi="Palatino Linotype" w:cs="Arial"/>
                <w:bCs/>
                <w:sz w:val="18"/>
                <w:szCs w:val="18"/>
              </w:rPr>
            </w:pPr>
            <w:r w:rsidRPr="00797A8B">
              <w:rPr>
                <w:rFonts w:ascii="Palatino Linotype" w:hAnsi="Palatino Linotype" w:cs="Arial"/>
                <w:bCs/>
                <w:sz w:val="18"/>
                <w:szCs w:val="18"/>
              </w:rPr>
              <w:t>1,103.8</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tabs>
                <w:tab w:val="left" w:pos="252"/>
                <w:tab w:val="center" w:pos="551"/>
              </w:tabs>
              <w:jc w:val="right"/>
              <w:rPr>
                <w:rFonts w:ascii="Palatino Linotype" w:hAnsi="Palatino Linotype" w:cs="Arial"/>
                <w:bCs/>
                <w:sz w:val="18"/>
                <w:szCs w:val="18"/>
              </w:rPr>
            </w:pPr>
            <w:r w:rsidRPr="00797A8B">
              <w:rPr>
                <w:rFonts w:ascii="Palatino Linotype" w:hAnsi="Palatino Linotype" w:cs="Arial"/>
                <w:bCs/>
                <w:sz w:val="18"/>
                <w:szCs w:val="18"/>
              </w:rPr>
              <w:t>1,206.0</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Cs/>
                <w:sz w:val="18"/>
                <w:szCs w:val="18"/>
              </w:rPr>
            </w:pPr>
            <w:r w:rsidRPr="00797A8B">
              <w:rPr>
                <w:rFonts w:ascii="Palatino Linotype" w:hAnsi="Palatino Linotype" w:cs="Arial"/>
                <w:bCs/>
                <w:sz w:val="18"/>
                <w:szCs w:val="18"/>
              </w:rPr>
              <w:t>9.3</w:t>
            </w:r>
          </w:p>
        </w:tc>
      </w:tr>
      <w:tr w:rsidR="001755DE" w:rsidRPr="00797A8B" w:rsidTr="00A91C39">
        <w:trPr>
          <w:trHeight w:val="224"/>
          <w:jc w:val="center"/>
        </w:trPr>
        <w:tc>
          <w:tcPr>
            <w:tcW w:w="3271" w:type="dxa"/>
            <w:tcBorders>
              <w:top w:val="nil"/>
              <w:left w:val="single" w:sz="4" w:space="0" w:color="auto"/>
              <w:bottom w:val="single" w:sz="4" w:space="0" w:color="auto"/>
              <w:right w:val="single" w:sz="4" w:space="0" w:color="auto"/>
            </w:tcBorders>
            <w:shd w:val="clear" w:color="auto" w:fill="auto"/>
            <w:hideMark/>
          </w:tcPr>
          <w:p w:rsidR="001755DE" w:rsidRPr="00797A8B" w:rsidRDefault="001755DE" w:rsidP="00A91C39">
            <w:pPr>
              <w:rPr>
                <w:rFonts w:ascii="Palatino Linotype" w:hAnsi="Palatino Linotype" w:cs="Arial"/>
                <w:b/>
                <w:bCs/>
                <w:sz w:val="18"/>
                <w:szCs w:val="18"/>
              </w:rPr>
            </w:pPr>
            <w:r w:rsidRPr="00797A8B">
              <w:rPr>
                <w:rFonts w:ascii="Palatino Linotype" w:hAnsi="Palatino Linotype" w:cs="Arial"/>
                <w:b/>
                <w:bCs/>
                <w:sz w:val="18"/>
                <w:szCs w:val="18"/>
              </w:rPr>
              <w:t>ICEX (Futures)</w:t>
            </w:r>
          </w:p>
        </w:tc>
        <w:tc>
          <w:tcPr>
            <w:tcW w:w="1128" w:type="dxa"/>
            <w:tcBorders>
              <w:top w:val="nil"/>
              <w:left w:val="nil"/>
              <w:bottom w:val="single" w:sz="4" w:space="0" w:color="auto"/>
              <w:right w:val="single" w:sz="4" w:space="0" w:color="auto"/>
            </w:tcBorders>
            <w:shd w:val="clear" w:color="auto" w:fill="auto"/>
            <w:noWrap/>
            <w:hideMark/>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 xml:space="preserve">40,511.3 </w:t>
            </w:r>
          </w:p>
        </w:tc>
        <w:tc>
          <w:tcPr>
            <w:tcW w:w="1236" w:type="dxa"/>
            <w:tcBorders>
              <w:top w:val="single" w:sz="4" w:space="0" w:color="auto"/>
              <w:left w:val="single" w:sz="4" w:space="0" w:color="auto"/>
              <w:bottom w:val="single" w:sz="4" w:space="0" w:color="auto"/>
              <w:right w:val="single" w:sz="4" w:space="0" w:color="auto"/>
            </w:tcBorders>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18.6</w:t>
            </w:r>
          </w:p>
        </w:tc>
        <w:tc>
          <w:tcPr>
            <w:tcW w:w="1319" w:type="dxa"/>
            <w:tcBorders>
              <w:top w:val="single" w:sz="4" w:space="0" w:color="auto"/>
              <w:left w:val="single" w:sz="4" w:space="0" w:color="auto"/>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22.5</w:t>
            </w:r>
          </w:p>
        </w:tc>
        <w:tc>
          <w:tcPr>
            <w:tcW w:w="1830" w:type="dxa"/>
            <w:tcBorders>
              <w:top w:val="nil"/>
              <w:left w:val="nil"/>
              <w:bottom w:val="single" w:sz="4" w:space="0" w:color="auto"/>
              <w:right w:val="single" w:sz="4" w:space="0" w:color="auto"/>
            </w:tcBorders>
            <w:shd w:val="clear" w:color="auto" w:fill="auto"/>
            <w:noWrap/>
          </w:tcPr>
          <w:p w:rsidR="001755DE" w:rsidRPr="00797A8B" w:rsidRDefault="001755DE" w:rsidP="00A91C39">
            <w:pPr>
              <w:jc w:val="right"/>
              <w:rPr>
                <w:rFonts w:ascii="Palatino Linotype" w:hAnsi="Palatino Linotype" w:cs="Arial"/>
                <w:b/>
                <w:bCs/>
                <w:sz w:val="18"/>
                <w:szCs w:val="18"/>
              </w:rPr>
            </w:pPr>
            <w:r w:rsidRPr="00797A8B">
              <w:rPr>
                <w:rFonts w:ascii="Palatino Linotype" w:hAnsi="Palatino Linotype" w:cs="Arial"/>
                <w:b/>
                <w:bCs/>
                <w:sz w:val="18"/>
                <w:szCs w:val="18"/>
              </w:rPr>
              <w:t>20.8</w:t>
            </w:r>
          </w:p>
        </w:tc>
      </w:tr>
    </w:tbl>
    <w:p w:rsidR="001755DE" w:rsidRDefault="001755DE" w:rsidP="001755DE">
      <w:pPr>
        <w:jc w:val="both"/>
        <w:rPr>
          <w:rFonts w:ascii="Palatino Linotype" w:hAnsi="Palatino Linotype" w:cs="Arial"/>
          <w:b/>
          <w:bCs/>
          <w:sz w:val="18"/>
          <w:szCs w:val="18"/>
        </w:rPr>
      </w:pPr>
    </w:p>
    <w:p w:rsidR="001755DE" w:rsidRPr="00DF31BD" w:rsidRDefault="001755DE" w:rsidP="001755DE">
      <w:pPr>
        <w:jc w:val="both"/>
        <w:rPr>
          <w:rFonts w:ascii="Palatino Linotype" w:hAnsi="Palatino Linotype" w:cs="Arial"/>
          <w:b/>
          <w:bCs/>
          <w:sz w:val="18"/>
          <w:szCs w:val="18"/>
        </w:rPr>
      </w:pPr>
      <w:r w:rsidRPr="00DF31BD">
        <w:rPr>
          <w:rFonts w:ascii="Palatino Linotype" w:hAnsi="Palatino Linotype" w:cs="Arial"/>
          <w:b/>
          <w:bCs/>
          <w:sz w:val="18"/>
          <w:szCs w:val="18"/>
        </w:rPr>
        <w:t xml:space="preserve"> Source: </w:t>
      </w:r>
      <w:r>
        <w:rPr>
          <w:rFonts w:ascii="Palatino Linotype" w:hAnsi="Palatino Linotype" w:cs="Arial"/>
          <w:b/>
          <w:bCs/>
          <w:sz w:val="18"/>
          <w:szCs w:val="18"/>
        </w:rPr>
        <w:t>MCX, BSE, NCDEX, NSE, ICEX</w:t>
      </w:r>
      <w:r w:rsidRPr="00DF31BD">
        <w:rPr>
          <w:rFonts w:ascii="Palatino Linotype" w:hAnsi="Palatino Linotype" w:cs="Arial"/>
          <w:b/>
          <w:bCs/>
          <w:sz w:val="18"/>
          <w:szCs w:val="18"/>
        </w:rPr>
        <w:t>.</w:t>
      </w:r>
    </w:p>
    <w:p w:rsidR="001755DE" w:rsidRPr="00DF31BD" w:rsidRDefault="001755DE" w:rsidP="001755DE">
      <w:pPr>
        <w:jc w:val="both"/>
        <w:rPr>
          <w:rFonts w:ascii="Palatino Linotype" w:hAnsi="Palatino Linotype" w:cs="Arial"/>
          <w:b/>
          <w:bCs/>
          <w:sz w:val="18"/>
          <w:szCs w:val="18"/>
        </w:rPr>
      </w:pPr>
    </w:p>
    <w:p w:rsidR="001755DE" w:rsidRPr="00B92D2D" w:rsidRDefault="001755DE" w:rsidP="001755DE">
      <w:pPr>
        <w:ind w:left="-284"/>
        <w:jc w:val="both"/>
        <w:rPr>
          <w:rFonts w:ascii="Palatino Linotype" w:hAnsi="Palatino Linotype" w:cs="Arial"/>
          <w:bCs/>
        </w:rPr>
      </w:pPr>
      <w:r>
        <w:rPr>
          <w:rFonts w:ascii="Palatino Linotype" w:hAnsi="Palatino Linotype" w:cs="Arial"/>
          <w:b/>
          <w:bCs/>
        </w:rPr>
        <w:t xml:space="preserve">B.       </w:t>
      </w:r>
      <w:r w:rsidRPr="00B92D2D">
        <w:rPr>
          <w:rFonts w:ascii="Palatino Linotype" w:hAnsi="Palatino Linotype" w:cs="Arial"/>
          <w:b/>
          <w:bCs/>
        </w:rPr>
        <w:t>Turnover</w:t>
      </w:r>
    </w:p>
    <w:p w:rsidR="001755DE" w:rsidRDefault="001755DE" w:rsidP="001755DE">
      <w:pPr>
        <w:jc w:val="both"/>
        <w:rPr>
          <w:rFonts w:ascii="Palatino Linotype" w:hAnsi="Palatino Linotype" w:cs="Arial"/>
          <w:bCs/>
        </w:rPr>
      </w:pPr>
    </w:p>
    <w:p w:rsidR="001755DE" w:rsidRPr="00D63EDD" w:rsidRDefault="001755DE" w:rsidP="001755DE">
      <w:pPr>
        <w:pStyle w:val="ListParagraph"/>
        <w:numPr>
          <w:ilvl w:val="0"/>
          <w:numId w:val="28"/>
        </w:numPr>
        <w:spacing w:after="0" w:line="240" w:lineRule="auto"/>
        <w:ind w:left="284" w:hanging="284"/>
        <w:jc w:val="both"/>
        <w:rPr>
          <w:rFonts w:ascii="Palatino Linotype" w:hAnsi="Palatino Linotype" w:cs="Arial"/>
          <w:bCs/>
          <w:sz w:val="22"/>
          <w:szCs w:val="22"/>
        </w:rPr>
      </w:pPr>
      <w:r w:rsidRPr="00D63EDD">
        <w:rPr>
          <w:rFonts w:ascii="Palatino Linotype" w:hAnsi="Palatino Linotype" w:cs="Arial"/>
          <w:bCs/>
          <w:sz w:val="22"/>
          <w:szCs w:val="22"/>
        </w:rPr>
        <w:t xml:space="preserve">During </w:t>
      </w:r>
      <w:r>
        <w:rPr>
          <w:rFonts w:ascii="Palatino Linotype" w:hAnsi="Palatino Linotype" w:cs="Arial"/>
          <w:bCs/>
          <w:sz w:val="22"/>
          <w:szCs w:val="22"/>
        </w:rPr>
        <w:t>March</w:t>
      </w:r>
      <w:r w:rsidRPr="00D63EDD">
        <w:rPr>
          <w:rFonts w:ascii="Palatino Linotype" w:hAnsi="Palatino Linotype" w:cs="Arial"/>
          <w:bCs/>
          <w:sz w:val="22"/>
          <w:szCs w:val="22"/>
        </w:rPr>
        <w:t xml:space="preserve"> 202</w:t>
      </w:r>
      <w:r>
        <w:rPr>
          <w:rFonts w:ascii="Palatino Linotype" w:hAnsi="Palatino Linotype" w:cs="Arial"/>
          <w:bCs/>
          <w:sz w:val="22"/>
          <w:szCs w:val="22"/>
        </w:rPr>
        <w:t>1</w:t>
      </w:r>
      <w:r w:rsidRPr="00D63EDD">
        <w:rPr>
          <w:rFonts w:ascii="Palatino Linotype" w:hAnsi="Palatino Linotype" w:cs="Arial"/>
          <w:bCs/>
          <w:sz w:val="22"/>
          <w:szCs w:val="22"/>
        </w:rPr>
        <w:t xml:space="preserve">, pan- India turnover of the commodity derivatives </w:t>
      </w:r>
      <w:r>
        <w:rPr>
          <w:rFonts w:ascii="Palatino Linotype" w:hAnsi="Palatino Linotype" w:cs="Arial"/>
          <w:bCs/>
          <w:sz w:val="22"/>
          <w:szCs w:val="22"/>
        </w:rPr>
        <w:t>de</w:t>
      </w:r>
      <w:r w:rsidRPr="00D63EDD">
        <w:rPr>
          <w:rFonts w:ascii="Palatino Linotype" w:hAnsi="Palatino Linotype" w:cs="Arial"/>
          <w:bCs/>
          <w:sz w:val="22"/>
          <w:szCs w:val="22"/>
        </w:rPr>
        <w:t xml:space="preserve">creased by </w:t>
      </w:r>
      <w:r>
        <w:rPr>
          <w:rFonts w:ascii="Palatino Linotype" w:hAnsi="Palatino Linotype" w:cs="Arial"/>
          <w:bCs/>
          <w:sz w:val="22"/>
          <w:szCs w:val="22"/>
        </w:rPr>
        <w:t>11.1</w:t>
      </w:r>
      <w:r w:rsidRPr="00D63EDD">
        <w:rPr>
          <w:rFonts w:ascii="Palatino Linotype" w:hAnsi="Palatino Linotype" w:cs="Arial"/>
          <w:bCs/>
          <w:sz w:val="22"/>
          <w:szCs w:val="22"/>
        </w:rPr>
        <w:t xml:space="preserve"> per cent to </w:t>
      </w:r>
      <w:r w:rsidRPr="00D63EDD">
        <w:rPr>
          <w:rFonts w:ascii="Times New Roman" w:hAnsi="Times New Roman"/>
          <w:bCs/>
          <w:sz w:val="22"/>
          <w:szCs w:val="22"/>
        </w:rPr>
        <w:t>₹</w:t>
      </w:r>
      <w:r>
        <w:rPr>
          <w:rFonts w:ascii="Times New Roman" w:hAnsi="Times New Roman"/>
          <w:bCs/>
          <w:sz w:val="22"/>
          <w:szCs w:val="22"/>
        </w:rPr>
        <w:t xml:space="preserve"> </w:t>
      </w:r>
      <w:r w:rsidRPr="00C46079">
        <w:rPr>
          <w:rFonts w:ascii="Palatino Linotype" w:hAnsi="Palatino Linotype" w:cs="Arial"/>
          <w:bCs/>
          <w:sz w:val="22"/>
          <w:szCs w:val="22"/>
        </w:rPr>
        <w:t>7,63,984.3</w:t>
      </w:r>
      <w:r w:rsidRPr="00D63EDD">
        <w:rPr>
          <w:rFonts w:ascii="Palatino Linotype" w:hAnsi="Palatino Linotype" w:cs="Arial"/>
          <w:bCs/>
          <w:sz w:val="22"/>
          <w:szCs w:val="22"/>
        </w:rPr>
        <w:t xml:space="preserve"> crore </w:t>
      </w:r>
      <w:r>
        <w:rPr>
          <w:rFonts w:ascii="Palatino Linotype" w:hAnsi="Palatino Linotype" w:cs="Arial"/>
          <w:bCs/>
          <w:sz w:val="22"/>
          <w:szCs w:val="22"/>
        </w:rPr>
        <w:t xml:space="preserve">driven by fall </w:t>
      </w:r>
      <w:r w:rsidRPr="00D63EDD">
        <w:rPr>
          <w:rFonts w:ascii="Palatino Linotype" w:hAnsi="Palatino Linotype" w:cs="Arial"/>
          <w:bCs/>
          <w:sz w:val="22"/>
          <w:szCs w:val="22"/>
        </w:rPr>
        <w:t xml:space="preserve">in turnover at </w:t>
      </w:r>
      <w:r>
        <w:rPr>
          <w:rFonts w:ascii="Palatino Linotype" w:hAnsi="Palatino Linotype" w:cs="Arial"/>
          <w:bCs/>
          <w:sz w:val="22"/>
          <w:szCs w:val="22"/>
        </w:rPr>
        <w:t xml:space="preserve">MCX. However, turnover at other exchanges increased during the month. </w:t>
      </w:r>
      <w:r w:rsidRPr="00D63EDD">
        <w:rPr>
          <w:rFonts w:ascii="Palatino Linotype" w:hAnsi="Palatino Linotype" w:cs="Arial"/>
          <w:bCs/>
          <w:sz w:val="22"/>
          <w:szCs w:val="22"/>
        </w:rPr>
        <w:t xml:space="preserve">The agricultural segment contributed </w:t>
      </w:r>
      <w:r>
        <w:rPr>
          <w:rFonts w:ascii="Palatino Linotype" w:hAnsi="Palatino Linotype" w:cs="Arial"/>
          <w:bCs/>
          <w:sz w:val="22"/>
          <w:szCs w:val="22"/>
        </w:rPr>
        <w:t>7.8</w:t>
      </w:r>
      <w:r w:rsidRPr="00D63EDD">
        <w:rPr>
          <w:rFonts w:ascii="Palatino Linotype" w:hAnsi="Palatino Linotype" w:cs="Arial"/>
          <w:bCs/>
          <w:sz w:val="22"/>
          <w:szCs w:val="22"/>
        </w:rPr>
        <w:t xml:space="preserve"> per cent to the total turnover, while non-agricultural segment accounted for </w:t>
      </w:r>
      <w:r>
        <w:rPr>
          <w:rFonts w:ascii="Palatino Linotype" w:hAnsi="Palatino Linotype" w:cs="Arial"/>
          <w:bCs/>
          <w:sz w:val="22"/>
          <w:szCs w:val="22"/>
        </w:rPr>
        <w:t>92.2</w:t>
      </w:r>
      <w:r w:rsidRPr="00D63EDD">
        <w:rPr>
          <w:rFonts w:ascii="Palatino Linotype" w:hAnsi="Palatino Linotype" w:cs="Arial"/>
          <w:bCs/>
          <w:sz w:val="22"/>
          <w:szCs w:val="22"/>
        </w:rPr>
        <w:t xml:space="preserve"> per cent. </w:t>
      </w:r>
    </w:p>
    <w:p w:rsidR="001755DE" w:rsidRDefault="001755DE" w:rsidP="001755DE">
      <w:pPr>
        <w:pStyle w:val="ListParagraph"/>
        <w:numPr>
          <w:ilvl w:val="0"/>
          <w:numId w:val="28"/>
        </w:numPr>
        <w:spacing w:after="0" w:line="240" w:lineRule="auto"/>
        <w:ind w:left="284" w:hanging="284"/>
        <w:jc w:val="both"/>
        <w:rPr>
          <w:rFonts w:ascii="Palatino Linotype" w:hAnsi="Palatino Linotype" w:cs="Arial"/>
          <w:bCs/>
          <w:sz w:val="22"/>
          <w:szCs w:val="22"/>
        </w:rPr>
      </w:pPr>
      <w:r w:rsidRPr="00DA1314">
        <w:rPr>
          <w:rFonts w:ascii="Palatino Linotype" w:hAnsi="Palatino Linotype" w:cs="Arial"/>
          <w:bCs/>
          <w:sz w:val="22"/>
          <w:szCs w:val="22"/>
        </w:rPr>
        <w:t xml:space="preserve">The total turnover at MCX </w:t>
      </w:r>
      <w:r>
        <w:rPr>
          <w:rFonts w:ascii="Palatino Linotype" w:hAnsi="Palatino Linotype" w:cs="Arial"/>
          <w:bCs/>
          <w:sz w:val="22"/>
          <w:szCs w:val="22"/>
        </w:rPr>
        <w:t>de</w:t>
      </w:r>
      <w:r w:rsidRPr="00DA1314">
        <w:rPr>
          <w:rFonts w:ascii="Palatino Linotype" w:hAnsi="Palatino Linotype" w:cs="Arial"/>
          <w:bCs/>
          <w:sz w:val="22"/>
          <w:szCs w:val="22"/>
        </w:rPr>
        <w:t xml:space="preserve">creased by </w:t>
      </w:r>
      <w:r>
        <w:rPr>
          <w:rFonts w:ascii="Palatino Linotype" w:hAnsi="Palatino Linotype" w:cs="Arial"/>
          <w:bCs/>
          <w:sz w:val="22"/>
          <w:szCs w:val="22"/>
        </w:rPr>
        <w:t>15.3</w:t>
      </w:r>
      <w:r w:rsidRPr="00DA1314">
        <w:rPr>
          <w:rFonts w:ascii="Palatino Linotype" w:hAnsi="Palatino Linotype" w:cs="Arial"/>
          <w:bCs/>
          <w:sz w:val="22"/>
          <w:szCs w:val="22"/>
        </w:rPr>
        <w:t xml:space="preserve"> per cent to </w:t>
      </w:r>
      <w:r w:rsidRPr="00DA1314">
        <w:rPr>
          <w:rFonts w:ascii="Times New Roman" w:hAnsi="Times New Roman"/>
          <w:bCs/>
          <w:sz w:val="22"/>
          <w:szCs w:val="22"/>
        </w:rPr>
        <w:t>₹</w:t>
      </w:r>
      <w:r>
        <w:rPr>
          <w:rFonts w:ascii="Times New Roman" w:hAnsi="Times New Roman"/>
          <w:bCs/>
          <w:sz w:val="22"/>
          <w:szCs w:val="22"/>
        </w:rPr>
        <w:t xml:space="preserve"> </w:t>
      </w:r>
      <w:r w:rsidRPr="003F7A72">
        <w:rPr>
          <w:rFonts w:ascii="Palatino Linotype" w:hAnsi="Palatino Linotype" w:cs="Arial"/>
          <w:bCs/>
          <w:sz w:val="22"/>
          <w:szCs w:val="22"/>
        </w:rPr>
        <w:t>6</w:t>
      </w:r>
      <w:r>
        <w:rPr>
          <w:rFonts w:ascii="Palatino Linotype" w:hAnsi="Palatino Linotype" w:cs="Arial"/>
          <w:bCs/>
          <w:sz w:val="22"/>
          <w:szCs w:val="22"/>
        </w:rPr>
        <w:t xml:space="preserve">,45,443.3 </w:t>
      </w:r>
      <w:r w:rsidRPr="00DA1314">
        <w:rPr>
          <w:rFonts w:ascii="Palatino Linotype" w:hAnsi="Palatino Linotype" w:cs="Arial"/>
          <w:bCs/>
          <w:sz w:val="22"/>
          <w:szCs w:val="22"/>
        </w:rPr>
        <w:t xml:space="preserve">crore during </w:t>
      </w:r>
      <w:r>
        <w:rPr>
          <w:rFonts w:ascii="Palatino Linotype" w:hAnsi="Palatino Linotype" w:cs="Arial"/>
          <w:bCs/>
          <w:sz w:val="22"/>
          <w:szCs w:val="22"/>
        </w:rPr>
        <w:t>March</w:t>
      </w:r>
      <w:r w:rsidRPr="00DA1314">
        <w:rPr>
          <w:rFonts w:ascii="Palatino Linotype" w:hAnsi="Palatino Linotype" w:cs="Arial"/>
          <w:bCs/>
          <w:sz w:val="22"/>
          <w:szCs w:val="22"/>
        </w:rPr>
        <w:t xml:space="preserve"> 202</w:t>
      </w:r>
      <w:r>
        <w:rPr>
          <w:rFonts w:ascii="Palatino Linotype" w:hAnsi="Palatino Linotype" w:cs="Arial"/>
          <w:bCs/>
          <w:sz w:val="22"/>
          <w:szCs w:val="22"/>
        </w:rPr>
        <w:t>1</w:t>
      </w:r>
      <w:r w:rsidRPr="00DA1314">
        <w:rPr>
          <w:rFonts w:ascii="Palatino Linotype" w:hAnsi="Palatino Linotype" w:cs="Arial"/>
          <w:bCs/>
          <w:sz w:val="22"/>
          <w:szCs w:val="22"/>
        </w:rPr>
        <w:t xml:space="preserve"> driven by </w:t>
      </w:r>
      <w:r>
        <w:rPr>
          <w:rFonts w:ascii="Palatino Linotype" w:hAnsi="Palatino Linotype" w:cs="Arial"/>
          <w:bCs/>
          <w:sz w:val="22"/>
          <w:szCs w:val="22"/>
        </w:rPr>
        <w:t>fall in</w:t>
      </w:r>
      <w:r w:rsidRPr="00DA1314">
        <w:rPr>
          <w:rFonts w:ascii="Palatino Linotype" w:hAnsi="Palatino Linotype" w:cs="Arial"/>
          <w:bCs/>
          <w:sz w:val="22"/>
          <w:szCs w:val="22"/>
        </w:rPr>
        <w:t xml:space="preserve"> </w:t>
      </w:r>
      <w:r>
        <w:rPr>
          <w:rFonts w:ascii="Palatino Linotype" w:hAnsi="Palatino Linotype" w:cs="Arial"/>
          <w:bCs/>
          <w:sz w:val="22"/>
          <w:szCs w:val="22"/>
        </w:rPr>
        <w:t xml:space="preserve">bullion, metal </w:t>
      </w:r>
      <w:r w:rsidRPr="00DA1314">
        <w:rPr>
          <w:rFonts w:ascii="Palatino Linotype" w:hAnsi="Palatino Linotype" w:cs="Arial"/>
          <w:bCs/>
          <w:sz w:val="22"/>
          <w:szCs w:val="22"/>
        </w:rPr>
        <w:t>and energy futures</w:t>
      </w:r>
      <w:r>
        <w:rPr>
          <w:rFonts w:ascii="Palatino Linotype" w:hAnsi="Palatino Linotype" w:cs="Arial"/>
          <w:bCs/>
          <w:sz w:val="22"/>
          <w:szCs w:val="22"/>
        </w:rPr>
        <w:t xml:space="preserve"> by 21.9 per cent, 18.3 per cent and 9.6 per cent respectively</w:t>
      </w:r>
      <w:r w:rsidRPr="00DA1314">
        <w:rPr>
          <w:rFonts w:ascii="Palatino Linotype" w:hAnsi="Palatino Linotype" w:cs="Arial"/>
          <w:bCs/>
          <w:sz w:val="22"/>
          <w:szCs w:val="22"/>
        </w:rPr>
        <w:t xml:space="preserve">. However, turnover in </w:t>
      </w:r>
      <w:r>
        <w:rPr>
          <w:rFonts w:ascii="Palatino Linotype" w:hAnsi="Palatino Linotype" w:cs="Arial"/>
          <w:bCs/>
          <w:sz w:val="22"/>
          <w:szCs w:val="22"/>
        </w:rPr>
        <w:t>agri. futures in</w:t>
      </w:r>
      <w:r w:rsidRPr="00DA1314">
        <w:rPr>
          <w:rFonts w:ascii="Palatino Linotype" w:hAnsi="Palatino Linotype" w:cs="Arial"/>
          <w:bCs/>
          <w:sz w:val="22"/>
          <w:szCs w:val="22"/>
        </w:rPr>
        <w:t xml:space="preserve">creased by </w:t>
      </w:r>
      <w:r>
        <w:rPr>
          <w:rFonts w:ascii="Palatino Linotype" w:hAnsi="Palatino Linotype" w:cs="Arial"/>
          <w:bCs/>
          <w:sz w:val="22"/>
          <w:szCs w:val="22"/>
        </w:rPr>
        <w:t>13.2 per cent.</w:t>
      </w:r>
      <w:r w:rsidRPr="00DA1314">
        <w:rPr>
          <w:rFonts w:ascii="Palatino Linotype" w:hAnsi="Palatino Linotype" w:cs="Arial"/>
          <w:bCs/>
          <w:sz w:val="22"/>
          <w:szCs w:val="22"/>
        </w:rPr>
        <w:t xml:space="preserve"> </w:t>
      </w:r>
      <w:r w:rsidRPr="00D85AD5">
        <w:rPr>
          <w:rFonts w:ascii="Palatino Linotype" w:hAnsi="Palatino Linotype" w:cs="Arial"/>
          <w:bCs/>
          <w:sz w:val="22"/>
          <w:szCs w:val="22"/>
        </w:rPr>
        <w:t>The turnover in iCOMDEX bullion</w:t>
      </w:r>
      <w:r>
        <w:rPr>
          <w:rFonts w:ascii="Palatino Linotype" w:hAnsi="Palatino Linotype" w:cs="Arial"/>
          <w:bCs/>
          <w:sz w:val="22"/>
          <w:szCs w:val="22"/>
        </w:rPr>
        <w:t xml:space="preserve"> and iCOMDEX metal </w:t>
      </w:r>
      <w:r w:rsidRPr="00D85AD5">
        <w:rPr>
          <w:rFonts w:ascii="Palatino Linotype" w:hAnsi="Palatino Linotype" w:cs="Arial"/>
          <w:bCs/>
          <w:sz w:val="22"/>
          <w:szCs w:val="22"/>
        </w:rPr>
        <w:t>ind</w:t>
      </w:r>
      <w:r>
        <w:rPr>
          <w:rFonts w:ascii="Palatino Linotype" w:hAnsi="Palatino Linotype" w:cs="Arial"/>
          <w:bCs/>
          <w:sz w:val="22"/>
          <w:szCs w:val="22"/>
        </w:rPr>
        <w:t>ex futures</w:t>
      </w:r>
      <w:r w:rsidRPr="00D85AD5">
        <w:rPr>
          <w:rFonts w:ascii="Palatino Linotype" w:hAnsi="Palatino Linotype" w:cs="Arial"/>
          <w:bCs/>
          <w:sz w:val="22"/>
          <w:szCs w:val="22"/>
        </w:rPr>
        <w:t xml:space="preserve"> </w:t>
      </w:r>
      <w:r>
        <w:rPr>
          <w:rFonts w:ascii="Palatino Linotype" w:hAnsi="Palatino Linotype" w:cs="Arial"/>
          <w:bCs/>
          <w:sz w:val="22"/>
          <w:szCs w:val="22"/>
        </w:rPr>
        <w:t>de</w:t>
      </w:r>
      <w:r w:rsidRPr="00D85AD5">
        <w:rPr>
          <w:rFonts w:ascii="Palatino Linotype" w:hAnsi="Palatino Linotype" w:cs="Arial"/>
          <w:bCs/>
          <w:sz w:val="22"/>
          <w:szCs w:val="22"/>
        </w:rPr>
        <w:t xml:space="preserve">creased by </w:t>
      </w:r>
      <w:r>
        <w:rPr>
          <w:rFonts w:ascii="Palatino Linotype" w:hAnsi="Palatino Linotype" w:cs="Arial"/>
          <w:bCs/>
          <w:sz w:val="22"/>
          <w:szCs w:val="22"/>
        </w:rPr>
        <w:t>37.2</w:t>
      </w:r>
      <w:r w:rsidRPr="00D85AD5">
        <w:rPr>
          <w:rFonts w:ascii="Palatino Linotype" w:hAnsi="Palatino Linotype" w:cs="Arial"/>
          <w:bCs/>
          <w:sz w:val="22"/>
          <w:szCs w:val="22"/>
        </w:rPr>
        <w:t xml:space="preserve"> per cent</w:t>
      </w:r>
      <w:r>
        <w:rPr>
          <w:rFonts w:ascii="Palatino Linotype" w:hAnsi="Palatino Linotype" w:cs="Arial"/>
          <w:bCs/>
          <w:sz w:val="22"/>
          <w:szCs w:val="22"/>
        </w:rPr>
        <w:t xml:space="preserve"> and 24.1 per cent </w:t>
      </w:r>
      <w:r w:rsidRPr="00D85AD5">
        <w:rPr>
          <w:rFonts w:ascii="Palatino Linotype" w:hAnsi="Palatino Linotype" w:cs="Arial"/>
          <w:bCs/>
          <w:sz w:val="22"/>
          <w:szCs w:val="22"/>
        </w:rPr>
        <w:t xml:space="preserve">to </w:t>
      </w:r>
      <w:r w:rsidRPr="00D85AD5">
        <w:rPr>
          <w:rFonts w:ascii="Tahoma" w:hAnsi="Tahoma" w:cs="Tahoma"/>
          <w:bCs/>
          <w:sz w:val="22"/>
          <w:szCs w:val="22"/>
        </w:rPr>
        <w:t>₹</w:t>
      </w:r>
      <w:r w:rsidRPr="00D85AD5">
        <w:rPr>
          <w:rFonts w:ascii="Palatino Linotype" w:hAnsi="Palatino Linotype" w:cs="Arial"/>
          <w:bCs/>
          <w:sz w:val="22"/>
          <w:szCs w:val="22"/>
        </w:rPr>
        <w:t xml:space="preserve"> </w:t>
      </w:r>
      <w:r>
        <w:rPr>
          <w:rFonts w:ascii="Palatino Linotype" w:hAnsi="Palatino Linotype" w:cs="Arial"/>
          <w:bCs/>
          <w:sz w:val="22"/>
          <w:szCs w:val="22"/>
        </w:rPr>
        <w:t xml:space="preserve">3,986.4 crore and </w:t>
      </w:r>
      <w:r w:rsidRPr="00D85AD5">
        <w:rPr>
          <w:rFonts w:ascii="Tahoma" w:hAnsi="Tahoma" w:cs="Tahoma"/>
          <w:bCs/>
          <w:sz w:val="22"/>
          <w:szCs w:val="22"/>
        </w:rPr>
        <w:t>₹</w:t>
      </w:r>
      <w:r>
        <w:rPr>
          <w:rFonts w:ascii="Tahoma" w:hAnsi="Tahoma" w:cs="Tahoma"/>
          <w:bCs/>
          <w:sz w:val="22"/>
          <w:szCs w:val="22"/>
        </w:rPr>
        <w:t xml:space="preserve"> </w:t>
      </w:r>
      <w:r w:rsidRPr="00C352B0">
        <w:rPr>
          <w:rFonts w:ascii="Palatino Linotype" w:hAnsi="Palatino Linotype" w:cs="Arial"/>
          <w:bCs/>
          <w:sz w:val="22"/>
          <w:szCs w:val="22"/>
        </w:rPr>
        <w:t>1,521.7</w:t>
      </w:r>
      <w:r w:rsidRPr="009A25B4">
        <w:rPr>
          <w:rFonts w:ascii="Palatino Linotype" w:hAnsi="Palatino Linotype" w:cs="Arial"/>
          <w:bCs/>
          <w:sz w:val="22"/>
          <w:szCs w:val="22"/>
        </w:rPr>
        <w:t xml:space="preserve"> crore respectively</w:t>
      </w:r>
      <w:r>
        <w:rPr>
          <w:rFonts w:ascii="Palatino Linotype" w:hAnsi="Palatino Linotype" w:cs="Arial"/>
          <w:bCs/>
          <w:sz w:val="22"/>
          <w:szCs w:val="22"/>
        </w:rPr>
        <w:t>.</w:t>
      </w:r>
    </w:p>
    <w:p w:rsidR="001755DE" w:rsidRDefault="001755DE" w:rsidP="001755DE">
      <w:pPr>
        <w:pStyle w:val="ListParagraph"/>
        <w:numPr>
          <w:ilvl w:val="0"/>
          <w:numId w:val="29"/>
        </w:numPr>
        <w:spacing w:after="0" w:line="240" w:lineRule="auto"/>
        <w:ind w:left="284" w:hanging="284"/>
        <w:jc w:val="both"/>
        <w:rPr>
          <w:rFonts w:ascii="Palatino Linotype" w:hAnsi="Palatino Linotype" w:cs="Arial"/>
          <w:bCs/>
          <w:sz w:val="22"/>
          <w:szCs w:val="22"/>
        </w:rPr>
      </w:pPr>
      <w:r w:rsidRPr="00DA1314">
        <w:rPr>
          <w:rFonts w:ascii="Palatino Linotype" w:hAnsi="Palatino Linotype" w:cs="Arial"/>
          <w:bCs/>
          <w:sz w:val="22"/>
          <w:szCs w:val="22"/>
        </w:rPr>
        <w:t xml:space="preserve">The notional turnover of options segment at MCX </w:t>
      </w:r>
      <w:r>
        <w:rPr>
          <w:rFonts w:ascii="Palatino Linotype" w:hAnsi="Palatino Linotype" w:cs="Arial"/>
          <w:bCs/>
          <w:sz w:val="22"/>
          <w:szCs w:val="22"/>
        </w:rPr>
        <w:t>in</w:t>
      </w:r>
      <w:r w:rsidRPr="00DA1314">
        <w:rPr>
          <w:rFonts w:ascii="Palatino Linotype" w:hAnsi="Palatino Linotype" w:cs="Arial"/>
          <w:bCs/>
          <w:sz w:val="22"/>
          <w:szCs w:val="22"/>
        </w:rPr>
        <w:t xml:space="preserve">creased by </w:t>
      </w:r>
      <w:r>
        <w:rPr>
          <w:rFonts w:ascii="Palatino Linotype" w:hAnsi="Palatino Linotype" w:cs="Arial"/>
          <w:bCs/>
          <w:sz w:val="22"/>
          <w:szCs w:val="22"/>
        </w:rPr>
        <w:t>68.7</w:t>
      </w:r>
      <w:r w:rsidRPr="00DA1314">
        <w:rPr>
          <w:rFonts w:ascii="Palatino Linotype" w:hAnsi="Palatino Linotype" w:cs="Arial"/>
          <w:bCs/>
          <w:sz w:val="22"/>
          <w:szCs w:val="22"/>
        </w:rPr>
        <w:t xml:space="preserve"> per cent during the month driven by </w:t>
      </w:r>
      <w:r>
        <w:rPr>
          <w:rFonts w:ascii="Palatino Linotype" w:hAnsi="Palatino Linotype" w:cs="Arial"/>
          <w:bCs/>
          <w:sz w:val="22"/>
          <w:szCs w:val="22"/>
        </w:rPr>
        <w:t>in</w:t>
      </w:r>
      <w:r w:rsidRPr="00DA1314">
        <w:rPr>
          <w:rFonts w:ascii="Palatino Linotype" w:hAnsi="Palatino Linotype" w:cs="Arial"/>
          <w:bCs/>
          <w:sz w:val="22"/>
          <w:szCs w:val="22"/>
        </w:rPr>
        <w:t xml:space="preserve">crease in </w:t>
      </w:r>
      <w:r>
        <w:rPr>
          <w:rFonts w:ascii="Palatino Linotype" w:hAnsi="Palatino Linotype" w:cs="Arial"/>
          <w:bCs/>
          <w:sz w:val="22"/>
          <w:szCs w:val="22"/>
        </w:rPr>
        <w:t xml:space="preserve">traded value in </w:t>
      </w:r>
      <w:r w:rsidRPr="00DA1314">
        <w:rPr>
          <w:rFonts w:ascii="Palatino Linotype" w:hAnsi="Palatino Linotype" w:cs="Arial"/>
          <w:bCs/>
          <w:sz w:val="22"/>
          <w:szCs w:val="22"/>
        </w:rPr>
        <w:t>bullion</w:t>
      </w:r>
      <w:r>
        <w:rPr>
          <w:rFonts w:ascii="Palatino Linotype" w:hAnsi="Palatino Linotype" w:cs="Arial"/>
          <w:bCs/>
          <w:sz w:val="22"/>
          <w:szCs w:val="22"/>
        </w:rPr>
        <w:t>, metal and energy</w:t>
      </w:r>
      <w:r w:rsidRPr="00DA1314">
        <w:rPr>
          <w:rFonts w:ascii="Palatino Linotype" w:hAnsi="Palatino Linotype" w:cs="Arial"/>
          <w:bCs/>
          <w:sz w:val="22"/>
          <w:szCs w:val="22"/>
        </w:rPr>
        <w:t xml:space="preserve"> segment</w:t>
      </w:r>
      <w:r>
        <w:rPr>
          <w:rFonts w:ascii="Palatino Linotype" w:hAnsi="Palatino Linotype" w:cs="Arial"/>
          <w:bCs/>
          <w:sz w:val="22"/>
          <w:szCs w:val="22"/>
        </w:rPr>
        <w:t xml:space="preserve">s by 12.5 per cent, 36.4 per cent and 219.4 per cent respectively. </w:t>
      </w:r>
      <w:r w:rsidRPr="00DA1314">
        <w:rPr>
          <w:rFonts w:ascii="Palatino Linotype" w:hAnsi="Palatino Linotype" w:cs="Arial"/>
          <w:bCs/>
          <w:sz w:val="22"/>
          <w:szCs w:val="22"/>
        </w:rPr>
        <w:t xml:space="preserve">The options contracts contributed </w:t>
      </w:r>
      <w:r>
        <w:rPr>
          <w:rFonts w:ascii="Palatino Linotype" w:hAnsi="Palatino Linotype" w:cs="Arial"/>
          <w:bCs/>
          <w:sz w:val="22"/>
          <w:szCs w:val="22"/>
        </w:rPr>
        <w:t>4.5</w:t>
      </w:r>
      <w:r w:rsidRPr="00DA1314">
        <w:rPr>
          <w:rFonts w:ascii="Palatino Linotype" w:hAnsi="Palatino Linotype" w:cs="Arial"/>
          <w:bCs/>
          <w:sz w:val="22"/>
          <w:szCs w:val="22"/>
        </w:rPr>
        <w:t xml:space="preserve"> per cent to the total turnover at MCX.</w:t>
      </w:r>
    </w:p>
    <w:p w:rsidR="001755DE" w:rsidRPr="003F4D29" w:rsidRDefault="001755DE" w:rsidP="001755DE">
      <w:pPr>
        <w:pStyle w:val="ListParagraph"/>
        <w:numPr>
          <w:ilvl w:val="0"/>
          <w:numId w:val="29"/>
        </w:numPr>
        <w:spacing w:after="0" w:line="240" w:lineRule="auto"/>
        <w:ind w:left="284" w:hanging="284"/>
        <w:jc w:val="both"/>
        <w:rPr>
          <w:rFonts w:ascii="Palatino Linotype" w:hAnsi="Palatino Linotype" w:cs="Arial"/>
          <w:bCs/>
          <w:sz w:val="22"/>
          <w:szCs w:val="22"/>
        </w:rPr>
      </w:pPr>
      <w:r w:rsidRPr="003F4D29">
        <w:rPr>
          <w:rFonts w:ascii="Palatino Linotype" w:hAnsi="Palatino Linotype" w:cs="Arial"/>
          <w:bCs/>
          <w:sz w:val="22"/>
          <w:szCs w:val="22"/>
        </w:rPr>
        <w:t xml:space="preserve">The total turnover at BSE increased by 10.0 per cent to </w:t>
      </w:r>
      <w:r w:rsidRPr="003F4D29">
        <w:rPr>
          <w:rFonts w:ascii="Tahoma" w:hAnsi="Tahoma" w:cs="Tahoma"/>
          <w:bCs/>
          <w:sz w:val="22"/>
          <w:szCs w:val="22"/>
        </w:rPr>
        <w:t>₹</w:t>
      </w:r>
      <w:r w:rsidRPr="003F4D29">
        <w:rPr>
          <w:rFonts w:ascii="Palatino Linotype" w:hAnsi="Palatino Linotype" w:cs="Arial"/>
          <w:bCs/>
          <w:sz w:val="22"/>
          <w:szCs w:val="22"/>
        </w:rPr>
        <w:t xml:space="preserve"> 71,708.5 crore driven by increase in turnover in bullion </w:t>
      </w:r>
      <w:r>
        <w:rPr>
          <w:rFonts w:ascii="Palatino Linotype" w:hAnsi="Palatino Linotype" w:cs="Arial"/>
          <w:bCs/>
          <w:sz w:val="22"/>
          <w:szCs w:val="22"/>
        </w:rPr>
        <w:t xml:space="preserve">options </w:t>
      </w:r>
      <w:r w:rsidRPr="003F4D29">
        <w:rPr>
          <w:rFonts w:ascii="Palatino Linotype" w:hAnsi="Palatino Linotype" w:cs="Arial"/>
          <w:bCs/>
          <w:sz w:val="22"/>
          <w:szCs w:val="22"/>
        </w:rPr>
        <w:t xml:space="preserve">by 10.0 per cent in March 2021. </w:t>
      </w:r>
      <w:r>
        <w:rPr>
          <w:rFonts w:ascii="Palatino Linotype" w:hAnsi="Palatino Linotype" w:cs="Arial"/>
          <w:bCs/>
          <w:sz w:val="22"/>
          <w:szCs w:val="22"/>
        </w:rPr>
        <w:t xml:space="preserve">In </w:t>
      </w:r>
      <w:r w:rsidRPr="003F4D29">
        <w:rPr>
          <w:rFonts w:ascii="Palatino Linotype" w:hAnsi="Palatino Linotype" w:cs="Arial"/>
          <w:bCs/>
          <w:sz w:val="22"/>
          <w:szCs w:val="22"/>
        </w:rPr>
        <w:t>futures segment</w:t>
      </w:r>
      <w:r>
        <w:rPr>
          <w:rFonts w:ascii="Palatino Linotype" w:hAnsi="Palatino Linotype" w:cs="Arial"/>
          <w:bCs/>
          <w:sz w:val="22"/>
          <w:szCs w:val="22"/>
        </w:rPr>
        <w:t xml:space="preserve">, </w:t>
      </w:r>
      <w:r w:rsidRPr="003F4D29">
        <w:rPr>
          <w:rFonts w:ascii="Palatino Linotype" w:hAnsi="Palatino Linotype" w:cs="Arial"/>
          <w:bCs/>
          <w:sz w:val="22"/>
          <w:szCs w:val="22"/>
        </w:rPr>
        <w:t xml:space="preserve">agri. and bullion contracts </w:t>
      </w:r>
      <w:r>
        <w:rPr>
          <w:rFonts w:ascii="Palatino Linotype" w:hAnsi="Palatino Linotype" w:cs="Arial"/>
          <w:bCs/>
          <w:sz w:val="22"/>
          <w:szCs w:val="22"/>
        </w:rPr>
        <w:t xml:space="preserve">registered an increase of </w:t>
      </w:r>
      <w:r w:rsidRPr="003F4D29">
        <w:rPr>
          <w:rFonts w:ascii="Palatino Linotype" w:hAnsi="Palatino Linotype" w:cs="Arial"/>
          <w:bCs/>
          <w:sz w:val="22"/>
          <w:szCs w:val="22"/>
        </w:rPr>
        <w:t>38.9 per cent and 18.0 per cent respectively</w:t>
      </w:r>
      <w:r>
        <w:rPr>
          <w:rFonts w:ascii="Palatino Linotype" w:hAnsi="Palatino Linotype" w:cs="Arial"/>
          <w:bCs/>
          <w:sz w:val="22"/>
          <w:szCs w:val="22"/>
        </w:rPr>
        <w:t xml:space="preserve"> during the month</w:t>
      </w:r>
      <w:r w:rsidRPr="003F4D29">
        <w:rPr>
          <w:rFonts w:ascii="Palatino Linotype" w:hAnsi="Palatino Linotype" w:cs="Arial"/>
          <w:bCs/>
          <w:sz w:val="22"/>
          <w:szCs w:val="22"/>
        </w:rPr>
        <w:t xml:space="preserve">. </w:t>
      </w:r>
    </w:p>
    <w:p w:rsidR="001755DE" w:rsidRPr="00D651BF" w:rsidRDefault="001755DE" w:rsidP="001755DE">
      <w:pPr>
        <w:pStyle w:val="ListParagraph"/>
        <w:numPr>
          <w:ilvl w:val="0"/>
          <w:numId w:val="29"/>
        </w:numPr>
        <w:spacing w:after="0" w:line="240" w:lineRule="auto"/>
        <w:ind w:left="284" w:hanging="284"/>
        <w:jc w:val="both"/>
        <w:rPr>
          <w:rFonts w:ascii="Palatino Linotype" w:hAnsi="Palatino Linotype" w:cs="Arial"/>
          <w:bCs/>
        </w:rPr>
      </w:pPr>
      <w:r w:rsidRPr="00DA1314">
        <w:rPr>
          <w:rFonts w:ascii="Palatino Linotype" w:hAnsi="Palatino Linotype" w:cs="Arial"/>
          <w:bCs/>
          <w:sz w:val="22"/>
          <w:szCs w:val="22"/>
        </w:rPr>
        <w:t xml:space="preserve">During the month, the total turnover at NCDEX </w:t>
      </w:r>
      <w:r>
        <w:rPr>
          <w:rFonts w:ascii="Palatino Linotype" w:hAnsi="Palatino Linotype" w:cs="Arial"/>
          <w:bCs/>
          <w:sz w:val="22"/>
          <w:szCs w:val="22"/>
        </w:rPr>
        <w:t>in</w:t>
      </w:r>
      <w:r w:rsidRPr="00DA1314">
        <w:rPr>
          <w:rFonts w:ascii="Palatino Linotype" w:hAnsi="Palatino Linotype" w:cs="Arial"/>
          <w:bCs/>
          <w:sz w:val="22"/>
          <w:szCs w:val="22"/>
        </w:rPr>
        <w:t xml:space="preserve">creased by </w:t>
      </w:r>
      <w:r>
        <w:rPr>
          <w:rFonts w:ascii="Palatino Linotype" w:hAnsi="Palatino Linotype" w:cs="Arial"/>
          <w:bCs/>
          <w:sz w:val="22"/>
          <w:szCs w:val="22"/>
        </w:rPr>
        <w:t>42.6</w:t>
      </w:r>
      <w:r w:rsidRPr="00DA1314">
        <w:rPr>
          <w:rFonts w:ascii="Palatino Linotype" w:hAnsi="Palatino Linotype" w:cs="Arial"/>
          <w:bCs/>
          <w:sz w:val="22"/>
          <w:szCs w:val="22"/>
        </w:rPr>
        <w:t xml:space="preserve"> per cent to </w:t>
      </w:r>
      <w:r w:rsidRPr="00DA1314">
        <w:rPr>
          <w:rFonts w:ascii="Times New Roman" w:hAnsi="Times New Roman"/>
          <w:bCs/>
          <w:sz w:val="22"/>
          <w:szCs w:val="22"/>
        </w:rPr>
        <w:t>₹</w:t>
      </w:r>
      <w:r>
        <w:rPr>
          <w:rFonts w:ascii="Times New Roman" w:hAnsi="Times New Roman"/>
          <w:bCs/>
          <w:sz w:val="22"/>
          <w:szCs w:val="22"/>
        </w:rPr>
        <w:t xml:space="preserve"> </w:t>
      </w:r>
      <w:r>
        <w:rPr>
          <w:rFonts w:ascii="Palatino Linotype" w:hAnsi="Palatino Linotype" w:cs="Arial"/>
          <w:bCs/>
          <w:sz w:val="22"/>
          <w:szCs w:val="22"/>
        </w:rPr>
        <w:t>43,920.0</w:t>
      </w:r>
      <w:r w:rsidRPr="00DA1314">
        <w:rPr>
          <w:rFonts w:ascii="Palatino Linotype" w:hAnsi="Palatino Linotype" w:cs="Arial"/>
          <w:bCs/>
          <w:sz w:val="22"/>
          <w:szCs w:val="22"/>
        </w:rPr>
        <w:t xml:space="preserve"> crore, due to </w:t>
      </w:r>
      <w:r>
        <w:rPr>
          <w:rFonts w:ascii="Palatino Linotype" w:hAnsi="Palatino Linotype" w:cs="Arial"/>
          <w:bCs/>
          <w:sz w:val="22"/>
          <w:szCs w:val="22"/>
        </w:rPr>
        <w:t>in</w:t>
      </w:r>
      <w:r w:rsidRPr="00DA1314">
        <w:rPr>
          <w:rFonts w:ascii="Palatino Linotype" w:hAnsi="Palatino Linotype" w:cs="Arial"/>
          <w:bCs/>
          <w:sz w:val="22"/>
          <w:szCs w:val="22"/>
        </w:rPr>
        <w:t xml:space="preserve">crease in traded </w:t>
      </w:r>
      <w:r>
        <w:rPr>
          <w:rFonts w:ascii="Palatino Linotype" w:hAnsi="Palatino Linotype" w:cs="Arial"/>
          <w:bCs/>
          <w:sz w:val="22"/>
          <w:szCs w:val="22"/>
        </w:rPr>
        <w:t xml:space="preserve">volume and </w:t>
      </w:r>
      <w:r w:rsidRPr="00DA1314">
        <w:rPr>
          <w:rFonts w:ascii="Palatino Linotype" w:hAnsi="Palatino Linotype" w:cs="Arial"/>
          <w:bCs/>
          <w:sz w:val="22"/>
          <w:szCs w:val="22"/>
        </w:rPr>
        <w:t xml:space="preserve">value of </w:t>
      </w:r>
      <w:r>
        <w:rPr>
          <w:rFonts w:ascii="Palatino Linotype" w:hAnsi="Palatino Linotype" w:cs="Arial"/>
          <w:bCs/>
          <w:sz w:val="22"/>
          <w:szCs w:val="22"/>
        </w:rPr>
        <w:t xml:space="preserve">nine </w:t>
      </w:r>
      <w:r w:rsidRPr="00DA1314">
        <w:rPr>
          <w:rFonts w:ascii="Palatino Linotype" w:hAnsi="Palatino Linotype" w:cs="Arial"/>
          <w:bCs/>
          <w:sz w:val="22"/>
          <w:szCs w:val="22"/>
        </w:rPr>
        <w:t xml:space="preserve">out of total </w:t>
      </w:r>
      <w:r>
        <w:rPr>
          <w:rFonts w:ascii="Palatino Linotype" w:hAnsi="Palatino Linotype" w:cs="Arial"/>
          <w:bCs/>
          <w:sz w:val="22"/>
          <w:szCs w:val="22"/>
        </w:rPr>
        <w:t>15</w:t>
      </w:r>
      <w:r w:rsidRPr="00DA1314">
        <w:rPr>
          <w:rFonts w:ascii="Palatino Linotype" w:hAnsi="Palatino Linotype" w:cs="Arial"/>
          <w:bCs/>
          <w:sz w:val="22"/>
          <w:szCs w:val="22"/>
        </w:rPr>
        <w:t xml:space="preserve"> traded commodities. Turnover in Agridex futures indices </w:t>
      </w:r>
      <w:r>
        <w:rPr>
          <w:rFonts w:ascii="Palatino Linotype" w:hAnsi="Palatino Linotype" w:cs="Arial"/>
          <w:bCs/>
          <w:sz w:val="22"/>
          <w:szCs w:val="22"/>
        </w:rPr>
        <w:t>in</w:t>
      </w:r>
      <w:r w:rsidRPr="00DA1314">
        <w:rPr>
          <w:rFonts w:ascii="Palatino Linotype" w:hAnsi="Palatino Linotype" w:cs="Arial"/>
          <w:bCs/>
          <w:sz w:val="22"/>
          <w:szCs w:val="22"/>
        </w:rPr>
        <w:t xml:space="preserve">creased to </w:t>
      </w:r>
      <w:r w:rsidRPr="00E15F87">
        <w:rPr>
          <w:rFonts w:ascii="Tahoma" w:hAnsi="Tahoma" w:cs="Tahoma"/>
          <w:bCs/>
          <w:sz w:val="22"/>
          <w:szCs w:val="22"/>
        </w:rPr>
        <w:t>₹</w:t>
      </w:r>
      <w:r w:rsidRPr="00E3187F">
        <w:rPr>
          <w:rFonts w:ascii="Palatino Linotype" w:hAnsi="Palatino Linotype" w:cs="Arial"/>
          <w:bCs/>
          <w:sz w:val="22"/>
          <w:szCs w:val="22"/>
        </w:rPr>
        <w:t>12.9</w:t>
      </w:r>
      <w:r w:rsidRPr="00DA1314">
        <w:rPr>
          <w:rFonts w:ascii="Palatino Linotype" w:hAnsi="Palatino Linotype" w:cs="Arial"/>
          <w:bCs/>
          <w:sz w:val="22"/>
          <w:szCs w:val="22"/>
        </w:rPr>
        <w:t xml:space="preserve"> crore, a</w:t>
      </w:r>
      <w:r>
        <w:rPr>
          <w:rFonts w:ascii="Palatino Linotype" w:hAnsi="Palatino Linotype" w:cs="Arial"/>
          <w:bCs/>
          <w:sz w:val="22"/>
          <w:szCs w:val="22"/>
        </w:rPr>
        <w:t>n</w:t>
      </w:r>
      <w:r w:rsidRPr="00DA1314">
        <w:rPr>
          <w:rFonts w:ascii="Palatino Linotype" w:hAnsi="Palatino Linotype" w:cs="Arial"/>
          <w:bCs/>
          <w:sz w:val="22"/>
          <w:szCs w:val="22"/>
        </w:rPr>
        <w:t xml:space="preserve"> </w:t>
      </w:r>
      <w:r>
        <w:rPr>
          <w:rFonts w:ascii="Palatino Linotype" w:hAnsi="Palatino Linotype" w:cs="Arial"/>
          <w:bCs/>
          <w:sz w:val="22"/>
          <w:szCs w:val="22"/>
        </w:rPr>
        <w:t>increase</w:t>
      </w:r>
      <w:r w:rsidRPr="00DA1314">
        <w:rPr>
          <w:rFonts w:ascii="Palatino Linotype" w:hAnsi="Palatino Linotype" w:cs="Arial"/>
          <w:bCs/>
          <w:sz w:val="22"/>
          <w:szCs w:val="22"/>
        </w:rPr>
        <w:t xml:space="preserve"> of </w:t>
      </w:r>
      <w:r>
        <w:rPr>
          <w:rFonts w:ascii="Palatino Linotype" w:hAnsi="Palatino Linotype" w:cs="Arial"/>
          <w:bCs/>
          <w:sz w:val="22"/>
          <w:szCs w:val="22"/>
        </w:rPr>
        <w:t>59.9</w:t>
      </w:r>
      <w:r w:rsidRPr="00DA1314">
        <w:rPr>
          <w:rFonts w:ascii="Palatino Linotype" w:hAnsi="Palatino Linotype" w:cs="Arial"/>
          <w:bCs/>
          <w:sz w:val="22"/>
          <w:szCs w:val="22"/>
        </w:rPr>
        <w:t xml:space="preserve"> per cent during </w:t>
      </w:r>
      <w:r>
        <w:rPr>
          <w:rFonts w:ascii="Palatino Linotype" w:hAnsi="Palatino Linotype" w:cs="Arial"/>
          <w:bCs/>
          <w:sz w:val="22"/>
          <w:szCs w:val="22"/>
        </w:rPr>
        <w:t>March</w:t>
      </w:r>
      <w:r w:rsidRPr="00DA1314">
        <w:rPr>
          <w:rFonts w:ascii="Palatino Linotype" w:hAnsi="Palatino Linotype" w:cs="Arial"/>
          <w:bCs/>
          <w:sz w:val="22"/>
          <w:szCs w:val="22"/>
        </w:rPr>
        <w:t xml:space="preserve"> 202</w:t>
      </w:r>
      <w:r>
        <w:rPr>
          <w:rFonts w:ascii="Palatino Linotype" w:hAnsi="Palatino Linotype" w:cs="Arial"/>
          <w:bCs/>
          <w:sz w:val="22"/>
          <w:szCs w:val="22"/>
        </w:rPr>
        <w:t>1</w:t>
      </w:r>
      <w:r w:rsidRPr="00DA1314">
        <w:rPr>
          <w:rFonts w:ascii="Palatino Linotype" w:hAnsi="Palatino Linotype" w:cs="Arial"/>
          <w:bCs/>
          <w:sz w:val="22"/>
          <w:szCs w:val="22"/>
        </w:rPr>
        <w:t>.</w:t>
      </w:r>
      <w:r>
        <w:rPr>
          <w:rFonts w:ascii="Palatino Linotype" w:hAnsi="Palatino Linotype" w:cs="Arial"/>
          <w:bCs/>
          <w:sz w:val="22"/>
          <w:szCs w:val="22"/>
        </w:rPr>
        <w:t xml:space="preserve"> Steel long contracts of non-agri. segment registered a total turnover of </w:t>
      </w:r>
      <w:r w:rsidRPr="00DA1314">
        <w:rPr>
          <w:rFonts w:ascii="Times New Roman" w:hAnsi="Times New Roman"/>
          <w:bCs/>
          <w:sz w:val="22"/>
          <w:szCs w:val="22"/>
        </w:rPr>
        <w:t>₹</w:t>
      </w:r>
      <w:r>
        <w:rPr>
          <w:rFonts w:ascii="Times New Roman" w:hAnsi="Times New Roman"/>
          <w:bCs/>
          <w:sz w:val="22"/>
          <w:szCs w:val="22"/>
        </w:rPr>
        <w:t xml:space="preserve">25 </w:t>
      </w:r>
      <w:r w:rsidRPr="00E15F87">
        <w:rPr>
          <w:rFonts w:ascii="Palatino Linotype" w:hAnsi="Palatino Linotype" w:cs="Arial"/>
          <w:bCs/>
          <w:sz w:val="22"/>
          <w:szCs w:val="22"/>
        </w:rPr>
        <w:t>crore</w:t>
      </w:r>
      <w:r>
        <w:rPr>
          <w:rFonts w:ascii="Palatino Linotype" w:hAnsi="Palatino Linotype" w:cs="Arial"/>
          <w:bCs/>
          <w:sz w:val="22"/>
          <w:szCs w:val="22"/>
        </w:rPr>
        <w:t xml:space="preserve"> during the month</w:t>
      </w:r>
      <w:r>
        <w:rPr>
          <w:rFonts w:ascii="Times New Roman" w:hAnsi="Times New Roman"/>
          <w:bCs/>
          <w:sz w:val="22"/>
          <w:szCs w:val="22"/>
        </w:rPr>
        <w:t>.</w:t>
      </w:r>
    </w:p>
    <w:p w:rsidR="001755DE" w:rsidRDefault="001755DE" w:rsidP="001755DE">
      <w:pPr>
        <w:pStyle w:val="ListParagraph"/>
        <w:numPr>
          <w:ilvl w:val="0"/>
          <w:numId w:val="29"/>
        </w:numPr>
        <w:spacing w:after="0" w:line="240" w:lineRule="auto"/>
        <w:ind w:left="284" w:hanging="284"/>
        <w:jc w:val="both"/>
        <w:rPr>
          <w:rFonts w:ascii="Palatino Linotype" w:hAnsi="Palatino Linotype" w:cs="Arial"/>
          <w:bCs/>
          <w:sz w:val="22"/>
          <w:szCs w:val="22"/>
        </w:rPr>
      </w:pPr>
      <w:r>
        <w:rPr>
          <w:rFonts w:ascii="Palatino Linotype" w:hAnsi="Palatino Linotype" w:cs="Arial"/>
          <w:bCs/>
          <w:sz w:val="22"/>
          <w:szCs w:val="22"/>
        </w:rPr>
        <w:t>The total turnover at NSE in</w:t>
      </w:r>
      <w:r w:rsidRPr="009454C6">
        <w:rPr>
          <w:rFonts w:ascii="Palatino Linotype" w:hAnsi="Palatino Linotype" w:cs="Arial"/>
          <w:bCs/>
          <w:sz w:val="22"/>
          <w:szCs w:val="22"/>
        </w:rPr>
        <w:t xml:space="preserve">creased by </w:t>
      </w:r>
      <w:r>
        <w:rPr>
          <w:rFonts w:ascii="Palatino Linotype" w:hAnsi="Palatino Linotype" w:cs="Arial"/>
          <w:bCs/>
          <w:sz w:val="22"/>
          <w:szCs w:val="22"/>
        </w:rPr>
        <w:t>41.8</w:t>
      </w:r>
      <w:r w:rsidRPr="009454C6">
        <w:rPr>
          <w:rFonts w:ascii="Palatino Linotype" w:hAnsi="Palatino Linotype" w:cs="Arial"/>
          <w:bCs/>
          <w:sz w:val="22"/>
          <w:szCs w:val="22"/>
        </w:rPr>
        <w:t xml:space="preserve"> per cent to </w:t>
      </w:r>
      <w:r w:rsidRPr="009454C6">
        <w:rPr>
          <w:rFonts w:ascii="Times New Roman" w:hAnsi="Times New Roman"/>
          <w:bCs/>
          <w:sz w:val="22"/>
          <w:szCs w:val="22"/>
        </w:rPr>
        <w:t>₹</w:t>
      </w:r>
      <w:r w:rsidRPr="009454C6">
        <w:rPr>
          <w:rFonts w:ascii="Palatino Linotype" w:hAnsi="Palatino Linotype" w:cs="Arial"/>
          <w:bCs/>
          <w:sz w:val="22"/>
          <w:szCs w:val="22"/>
        </w:rPr>
        <w:t>2,</w:t>
      </w:r>
      <w:r>
        <w:rPr>
          <w:rFonts w:ascii="Palatino Linotype" w:hAnsi="Palatino Linotype" w:cs="Arial"/>
          <w:bCs/>
          <w:sz w:val="22"/>
          <w:szCs w:val="22"/>
        </w:rPr>
        <w:t>890.0</w:t>
      </w:r>
      <w:r w:rsidRPr="009454C6">
        <w:rPr>
          <w:rFonts w:ascii="Palatino Linotype" w:hAnsi="Palatino Linotype" w:cs="Arial"/>
          <w:bCs/>
          <w:sz w:val="22"/>
          <w:szCs w:val="22"/>
        </w:rPr>
        <w:t xml:space="preserve"> crore in </w:t>
      </w:r>
      <w:r>
        <w:rPr>
          <w:rFonts w:ascii="Palatino Linotype" w:hAnsi="Palatino Linotype" w:cs="Arial"/>
          <w:bCs/>
          <w:sz w:val="22"/>
          <w:szCs w:val="22"/>
        </w:rPr>
        <w:t xml:space="preserve">March 2021 </w:t>
      </w:r>
      <w:r w:rsidRPr="009454C6">
        <w:rPr>
          <w:rFonts w:ascii="Palatino Linotype" w:hAnsi="Palatino Linotype" w:cs="Arial"/>
          <w:bCs/>
          <w:sz w:val="22"/>
          <w:szCs w:val="22"/>
        </w:rPr>
        <w:t>on account of</w:t>
      </w:r>
      <w:r>
        <w:rPr>
          <w:rFonts w:ascii="Palatino Linotype" w:hAnsi="Palatino Linotype" w:cs="Arial"/>
          <w:bCs/>
          <w:sz w:val="22"/>
          <w:szCs w:val="22"/>
        </w:rPr>
        <w:t xml:space="preserve"> increase in turnover in agri. and bullion contracts of futures segment by 81.8 per cent and 29.4 per cent respectively</w:t>
      </w:r>
      <w:r w:rsidRPr="009454C6">
        <w:rPr>
          <w:rFonts w:ascii="Palatino Linotype" w:hAnsi="Palatino Linotype" w:cs="Arial"/>
          <w:bCs/>
          <w:sz w:val="22"/>
          <w:szCs w:val="22"/>
        </w:rPr>
        <w:t xml:space="preserve">. </w:t>
      </w:r>
      <w:r>
        <w:rPr>
          <w:rFonts w:ascii="Palatino Linotype" w:hAnsi="Palatino Linotype" w:cs="Arial"/>
          <w:bCs/>
          <w:sz w:val="22"/>
          <w:szCs w:val="22"/>
        </w:rPr>
        <w:t>In options segment, bullion contracts recorded an increase of 9.3</w:t>
      </w:r>
      <w:r w:rsidRPr="009454C6">
        <w:rPr>
          <w:rFonts w:ascii="Palatino Linotype" w:hAnsi="Palatino Linotype" w:cs="Arial"/>
          <w:bCs/>
          <w:sz w:val="22"/>
          <w:szCs w:val="22"/>
        </w:rPr>
        <w:t xml:space="preserve"> per cent</w:t>
      </w:r>
      <w:r>
        <w:rPr>
          <w:rFonts w:ascii="Palatino Linotype" w:hAnsi="Palatino Linotype" w:cs="Arial"/>
          <w:bCs/>
          <w:sz w:val="22"/>
          <w:szCs w:val="22"/>
        </w:rPr>
        <w:t xml:space="preserve"> during the month. </w:t>
      </w:r>
    </w:p>
    <w:p w:rsidR="001755DE" w:rsidRPr="00FD351C" w:rsidRDefault="001755DE" w:rsidP="001755DE">
      <w:pPr>
        <w:pStyle w:val="ListParagraph"/>
        <w:numPr>
          <w:ilvl w:val="0"/>
          <w:numId w:val="30"/>
        </w:numPr>
        <w:spacing w:after="0" w:line="240" w:lineRule="auto"/>
        <w:ind w:left="284" w:hanging="284"/>
        <w:jc w:val="both"/>
        <w:rPr>
          <w:rFonts w:ascii="Palatino Linotype" w:hAnsi="Palatino Linotype" w:cs="Arial"/>
          <w:bCs/>
          <w:sz w:val="22"/>
          <w:szCs w:val="22"/>
        </w:rPr>
      </w:pPr>
      <w:r w:rsidRPr="00184B26">
        <w:rPr>
          <w:rFonts w:ascii="Palatino Linotype" w:hAnsi="Palatino Linotype" w:cs="Arial"/>
          <w:bCs/>
          <w:sz w:val="22"/>
          <w:szCs w:val="22"/>
        </w:rPr>
        <w:t xml:space="preserve">In </w:t>
      </w:r>
      <w:r>
        <w:rPr>
          <w:rFonts w:ascii="Palatino Linotype" w:hAnsi="Palatino Linotype" w:cs="Arial"/>
          <w:bCs/>
          <w:sz w:val="22"/>
          <w:szCs w:val="22"/>
        </w:rPr>
        <w:t>March</w:t>
      </w:r>
      <w:r w:rsidRPr="00184B26">
        <w:rPr>
          <w:rFonts w:ascii="Palatino Linotype" w:hAnsi="Palatino Linotype" w:cs="Arial"/>
          <w:bCs/>
          <w:sz w:val="22"/>
          <w:szCs w:val="22"/>
        </w:rPr>
        <w:t xml:space="preserve"> 2021, </w:t>
      </w:r>
      <w:r w:rsidRPr="00FD351C">
        <w:rPr>
          <w:rFonts w:ascii="Palatino Linotype" w:hAnsi="Palatino Linotype" w:cs="Arial"/>
          <w:bCs/>
          <w:sz w:val="22"/>
          <w:szCs w:val="22"/>
        </w:rPr>
        <w:t xml:space="preserve">the total turnover at ICEX, increased by </w:t>
      </w:r>
      <w:r>
        <w:rPr>
          <w:rFonts w:ascii="Palatino Linotype" w:hAnsi="Palatino Linotype" w:cs="Arial"/>
          <w:bCs/>
          <w:sz w:val="22"/>
          <w:szCs w:val="22"/>
        </w:rPr>
        <w:t>20.8</w:t>
      </w:r>
      <w:r w:rsidRPr="00FD351C">
        <w:rPr>
          <w:rFonts w:ascii="Palatino Linotype" w:hAnsi="Palatino Linotype" w:cs="Arial"/>
          <w:bCs/>
          <w:sz w:val="22"/>
          <w:szCs w:val="22"/>
        </w:rPr>
        <w:t xml:space="preserve"> per cent </w:t>
      </w:r>
      <w:r w:rsidRPr="00B92991">
        <w:rPr>
          <w:rFonts w:ascii="Palatino Linotype" w:hAnsi="Palatino Linotype" w:cs="Arial"/>
          <w:bCs/>
          <w:sz w:val="22"/>
          <w:szCs w:val="22"/>
        </w:rPr>
        <w:t xml:space="preserve">to </w:t>
      </w:r>
      <w:r w:rsidRPr="00FD351C">
        <w:rPr>
          <w:rFonts w:ascii="Tahoma" w:hAnsi="Tahoma" w:cs="Tahoma"/>
          <w:bCs/>
          <w:sz w:val="22"/>
          <w:szCs w:val="22"/>
        </w:rPr>
        <w:t>₹</w:t>
      </w:r>
      <w:r>
        <w:rPr>
          <w:rFonts w:ascii="Tahoma" w:hAnsi="Tahoma" w:cs="Tahoma"/>
          <w:bCs/>
          <w:sz w:val="22"/>
          <w:szCs w:val="22"/>
        </w:rPr>
        <w:t xml:space="preserve"> </w:t>
      </w:r>
      <w:r w:rsidRPr="00EE6105">
        <w:rPr>
          <w:rFonts w:ascii="Palatino Linotype" w:hAnsi="Palatino Linotype" w:cs="Arial"/>
          <w:bCs/>
          <w:sz w:val="22"/>
          <w:szCs w:val="22"/>
        </w:rPr>
        <w:t>22.5</w:t>
      </w:r>
      <w:r w:rsidRPr="00FD351C">
        <w:rPr>
          <w:rFonts w:ascii="Palatino Linotype" w:hAnsi="Palatino Linotype" w:cs="Arial"/>
          <w:bCs/>
          <w:sz w:val="22"/>
          <w:szCs w:val="22"/>
        </w:rPr>
        <w:t xml:space="preserve"> crore </w:t>
      </w:r>
      <w:r w:rsidRPr="00184B26">
        <w:rPr>
          <w:rFonts w:ascii="Palatino Linotype" w:hAnsi="Palatino Linotype" w:cs="Arial"/>
          <w:bCs/>
          <w:sz w:val="22"/>
          <w:szCs w:val="22"/>
        </w:rPr>
        <w:t xml:space="preserve">due to increase in traded value of </w:t>
      </w:r>
      <w:r>
        <w:rPr>
          <w:rFonts w:ascii="Palatino Linotype" w:hAnsi="Palatino Linotype" w:cs="Arial"/>
          <w:bCs/>
          <w:sz w:val="22"/>
          <w:szCs w:val="22"/>
        </w:rPr>
        <w:t xml:space="preserve">agri. and </w:t>
      </w:r>
      <w:r w:rsidRPr="00FD351C">
        <w:rPr>
          <w:rFonts w:ascii="Palatino Linotype" w:hAnsi="Palatino Linotype" w:cs="Arial"/>
          <w:bCs/>
          <w:sz w:val="22"/>
          <w:szCs w:val="22"/>
        </w:rPr>
        <w:t>steel long contracts</w:t>
      </w:r>
      <w:r>
        <w:rPr>
          <w:rFonts w:ascii="Palatino Linotype" w:hAnsi="Palatino Linotype" w:cs="Arial"/>
          <w:bCs/>
          <w:sz w:val="22"/>
          <w:szCs w:val="22"/>
        </w:rPr>
        <w:t xml:space="preserve"> by 34.7 per cent and 18.9 per cent respectively</w:t>
      </w:r>
      <w:r>
        <w:rPr>
          <w:rFonts w:ascii="Tahoma" w:hAnsi="Tahoma" w:cs="Tahoma"/>
          <w:bCs/>
          <w:sz w:val="22"/>
          <w:szCs w:val="22"/>
        </w:rPr>
        <w:t>.</w:t>
      </w:r>
      <w:r w:rsidRPr="00FD351C">
        <w:rPr>
          <w:rFonts w:ascii="Palatino Linotype" w:hAnsi="Palatino Linotype" w:cs="Arial"/>
          <w:bCs/>
          <w:sz w:val="22"/>
          <w:szCs w:val="22"/>
        </w:rPr>
        <w:t xml:space="preserve"> </w:t>
      </w:r>
    </w:p>
    <w:p w:rsidR="001755DE" w:rsidRPr="00184B26" w:rsidRDefault="001755DE" w:rsidP="001755DE">
      <w:pPr>
        <w:pStyle w:val="ListParagraph"/>
        <w:numPr>
          <w:ilvl w:val="0"/>
          <w:numId w:val="30"/>
        </w:numPr>
        <w:spacing w:after="0" w:line="240" w:lineRule="auto"/>
        <w:ind w:left="284" w:hanging="284"/>
        <w:jc w:val="both"/>
      </w:pPr>
      <w:r w:rsidRPr="00184B26">
        <w:rPr>
          <w:rFonts w:ascii="Palatino Linotype" w:hAnsi="Palatino Linotype" w:cs="Arial"/>
          <w:bCs/>
          <w:sz w:val="22"/>
          <w:szCs w:val="22"/>
        </w:rPr>
        <w:t xml:space="preserve">The turnover of agricultural and non-agricultural commodities at exchanges is shown in Figures </w:t>
      </w:r>
      <w:r w:rsidRPr="00B92991">
        <w:rPr>
          <w:rFonts w:ascii="Palatino Linotype" w:hAnsi="Palatino Linotype" w:cs="Arial"/>
          <w:bCs/>
          <w:sz w:val="22"/>
          <w:szCs w:val="22"/>
        </w:rPr>
        <w:t>15</w:t>
      </w:r>
      <w:r w:rsidRPr="00A7414A">
        <w:rPr>
          <w:rFonts w:ascii="Palatino Linotype" w:hAnsi="Palatino Linotype" w:cs="Arial"/>
          <w:bCs/>
          <w:sz w:val="22"/>
          <w:szCs w:val="22"/>
        </w:rPr>
        <w:t>,</w:t>
      </w:r>
      <w:r w:rsidRPr="00B92991">
        <w:rPr>
          <w:rFonts w:ascii="Palatino Linotype" w:hAnsi="Palatino Linotype" w:cs="Arial"/>
          <w:bCs/>
          <w:sz w:val="22"/>
          <w:szCs w:val="22"/>
        </w:rPr>
        <w:t xml:space="preserve"> 16 and 17 and the details are given in </w:t>
      </w:r>
      <w:r w:rsidRPr="00484D1D">
        <w:rPr>
          <w:rFonts w:ascii="Palatino Linotype" w:hAnsi="Palatino Linotype" w:cs="Arial"/>
          <w:bCs/>
          <w:sz w:val="22"/>
          <w:szCs w:val="22"/>
        </w:rPr>
        <w:t>Tables 65 to 69</w:t>
      </w:r>
      <w:r w:rsidRPr="00B92991">
        <w:rPr>
          <w:rFonts w:ascii="Palatino Linotype" w:hAnsi="Palatino Linotype" w:cs="Arial"/>
          <w:bCs/>
          <w:sz w:val="22"/>
          <w:szCs w:val="22"/>
        </w:rPr>
        <w:t>.</w:t>
      </w:r>
    </w:p>
    <w:p w:rsidR="001755DE" w:rsidRDefault="001755DE" w:rsidP="001755DE">
      <w:pPr>
        <w:jc w:val="both"/>
        <w:rPr>
          <w:rFonts w:ascii="Palatino Linotype" w:hAnsi="Palatino Linotype" w:cs="Arial"/>
          <w:bCs/>
        </w:rPr>
      </w:pPr>
    </w:p>
    <w:p w:rsidR="001755DE" w:rsidRDefault="001755DE" w:rsidP="001755DE">
      <w:pPr>
        <w:pStyle w:val="ListParagraph"/>
        <w:spacing w:after="0" w:line="240" w:lineRule="auto"/>
        <w:jc w:val="center"/>
        <w:rPr>
          <w:rFonts w:ascii="Palatino Linotype" w:hAnsi="Palatino Linotype" w:cs="Arial"/>
          <w:b/>
          <w:bCs/>
          <w:sz w:val="22"/>
          <w:szCs w:val="22"/>
        </w:rPr>
      </w:pPr>
      <w:r w:rsidRPr="009B2971">
        <w:rPr>
          <w:rFonts w:ascii="Palatino Linotype" w:hAnsi="Palatino Linotype" w:cs="Arial"/>
          <w:b/>
          <w:bCs/>
          <w:sz w:val="22"/>
          <w:szCs w:val="22"/>
        </w:rPr>
        <w:t xml:space="preserve">Figure 15: Trends in Turnover of Agricultural Commodity Derivatives </w:t>
      </w:r>
    </w:p>
    <w:p w:rsidR="001755DE" w:rsidRDefault="001755DE" w:rsidP="001755DE">
      <w:pPr>
        <w:pStyle w:val="ListParagraph"/>
        <w:spacing w:after="0" w:line="240" w:lineRule="auto"/>
        <w:jc w:val="center"/>
        <w:rPr>
          <w:rFonts w:ascii="Palatino Linotype" w:hAnsi="Palatino Linotype" w:cs="Arial"/>
          <w:b/>
          <w:bCs/>
          <w:sz w:val="22"/>
          <w:szCs w:val="22"/>
        </w:rPr>
      </w:pPr>
    </w:p>
    <w:p w:rsidR="001755DE" w:rsidRDefault="001755DE" w:rsidP="001755DE">
      <w:pPr>
        <w:pStyle w:val="ListParagraph"/>
        <w:spacing w:after="0" w:line="240" w:lineRule="auto"/>
        <w:ind w:hanging="578"/>
        <w:jc w:val="center"/>
        <w:rPr>
          <w:rFonts w:ascii="Palatino Linotype" w:hAnsi="Palatino Linotype" w:cs="Arial"/>
          <w:b/>
          <w:bCs/>
          <w:sz w:val="22"/>
          <w:szCs w:val="22"/>
        </w:rPr>
      </w:pPr>
      <w:r w:rsidRPr="00797A8B">
        <w:rPr>
          <w:noProof/>
          <w:lang w:val="en-IN" w:eastAsia="en-IN" w:bidi="hi-IN"/>
        </w:rPr>
        <w:drawing>
          <wp:inline distT="0" distB="0" distL="0" distR="0">
            <wp:extent cx="5732145" cy="3207385"/>
            <wp:effectExtent l="0" t="0" r="1905" b="12065"/>
            <wp:docPr id="11"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1755DE" w:rsidRPr="00797A8B" w:rsidRDefault="001755DE" w:rsidP="001755DE">
      <w:pPr>
        <w:pStyle w:val="ListParagraph"/>
        <w:spacing w:after="0" w:line="240" w:lineRule="auto"/>
        <w:ind w:left="0"/>
        <w:jc w:val="center"/>
        <w:rPr>
          <w:rFonts w:ascii="Palatino Linotype" w:hAnsi="Palatino Linotype" w:cs="Arial"/>
          <w:b/>
          <w:bCs/>
          <w:color w:val="2E74B5"/>
          <w:sz w:val="22"/>
          <w:szCs w:val="22"/>
        </w:rPr>
      </w:pPr>
    </w:p>
    <w:p w:rsidR="001755DE" w:rsidRPr="00797A8B" w:rsidRDefault="001755DE" w:rsidP="001755DE">
      <w:pPr>
        <w:rPr>
          <w:rFonts w:ascii="Palatino Linotype" w:hAnsi="Palatino Linotype"/>
          <w:b/>
          <w:color w:val="0D0D0D"/>
          <w:sz w:val="18"/>
          <w:szCs w:val="18"/>
        </w:rPr>
      </w:pPr>
    </w:p>
    <w:p w:rsidR="001755DE" w:rsidRPr="00797A8B" w:rsidRDefault="001755DE" w:rsidP="001755DE">
      <w:pPr>
        <w:rPr>
          <w:rFonts w:ascii="Palatino Linotype" w:hAnsi="Palatino Linotype"/>
          <w:b/>
          <w:color w:val="0D0D0D"/>
          <w:sz w:val="18"/>
          <w:szCs w:val="18"/>
        </w:rPr>
      </w:pPr>
      <w:r w:rsidRPr="00797A8B">
        <w:rPr>
          <w:rFonts w:ascii="Palatino Linotype" w:hAnsi="Palatino Linotype"/>
          <w:b/>
          <w:color w:val="0D0D0D"/>
          <w:sz w:val="18"/>
          <w:szCs w:val="18"/>
        </w:rPr>
        <w:t>Source: MCX, NCDEX, NSE, BSE &amp; ICEX</w:t>
      </w: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jc w:val="center"/>
        <w:rPr>
          <w:rFonts w:ascii="Palatino Linotype" w:hAnsi="Palatino Linotype"/>
          <w:b/>
          <w:color w:val="365F91"/>
          <w:sz w:val="22"/>
          <w:szCs w:val="22"/>
        </w:rPr>
      </w:pPr>
    </w:p>
    <w:p w:rsidR="001755DE" w:rsidRDefault="001755DE" w:rsidP="001755DE">
      <w:pPr>
        <w:pStyle w:val="ListParagraph"/>
        <w:spacing w:after="0" w:line="240" w:lineRule="auto"/>
        <w:ind w:left="426" w:hanging="862"/>
        <w:jc w:val="center"/>
        <w:rPr>
          <w:rFonts w:ascii="Palatino Linotype" w:hAnsi="Palatino Linotype"/>
          <w:b/>
          <w:sz w:val="22"/>
          <w:szCs w:val="22"/>
        </w:rPr>
      </w:pPr>
      <w:r>
        <w:rPr>
          <w:rFonts w:ascii="Palatino Linotype" w:hAnsi="Palatino Linotype"/>
          <w:b/>
          <w:sz w:val="22"/>
          <w:szCs w:val="22"/>
        </w:rPr>
        <w:t xml:space="preserve">   </w:t>
      </w:r>
      <w:r w:rsidRPr="009B2971">
        <w:rPr>
          <w:rFonts w:ascii="Palatino Linotype" w:hAnsi="Palatino Linotype"/>
          <w:b/>
          <w:sz w:val="22"/>
          <w:szCs w:val="22"/>
        </w:rPr>
        <w:t xml:space="preserve">Figure 16: Trends in </w:t>
      </w:r>
      <w:r w:rsidRPr="00484D1D">
        <w:rPr>
          <w:rFonts w:ascii="Palatino Linotype" w:hAnsi="Palatino Linotype"/>
          <w:b/>
          <w:sz w:val="22"/>
          <w:szCs w:val="22"/>
        </w:rPr>
        <w:t>Turnover of Non</w:t>
      </w:r>
      <w:r w:rsidRPr="009B2971">
        <w:rPr>
          <w:rFonts w:ascii="Palatino Linotype" w:hAnsi="Palatino Linotype"/>
          <w:b/>
          <w:sz w:val="22"/>
          <w:szCs w:val="22"/>
        </w:rPr>
        <w:t xml:space="preserve">-Agricultural </w:t>
      </w:r>
      <w:r>
        <w:rPr>
          <w:rFonts w:ascii="Palatino Linotype" w:hAnsi="Palatino Linotype"/>
          <w:b/>
          <w:sz w:val="22"/>
          <w:szCs w:val="22"/>
        </w:rPr>
        <w:t>Futures contracts</w:t>
      </w:r>
      <w:r w:rsidRPr="009B2971">
        <w:rPr>
          <w:rFonts w:ascii="Palatino Linotype" w:hAnsi="Palatino Linotype"/>
          <w:b/>
          <w:sz w:val="22"/>
          <w:szCs w:val="22"/>
        </w:rPr>
        <w:t xml:space="preserve"> </w:t>
      </w:r>
    </w:p>
    <w:p w:rsidR="001755DE" w:rsidRPr="009B2971" w:rsidRDefault="001755DE" w:rsidP="001755DE">
      <w:pPr>
        <w:pStyle w:val="ListParagraph"/>
        <w:spacing w:after="0" w:line="240" w:lineRule="auto"/>
        <w:ind w:left="426" w:hanging="862"/>
        <w:jc w:val="center"/>
        <w:rPr>
          <w:rFonts w:ascii="Palatino Linotype" w:hAnsi="Palatino Linotype" w:cs="Arial"/>
          <w:b/>
          <w:bCs/>
          <w:sz w:val="22"/>
          <w:szCs w:val="22"/>
        </w:rPr>
      </w:pPr>
      <w:r w:rsidRPr="00797A8B">
        <w:rPr>
          <w:noProof/>
          <w:lang w:val="en-IN" w:eastAsia="en-IN" w:bidi="hi-IN"/>
        </w:rPr>
        <w:drawing>
          <wp:inline distT="0" distB="0" distL="0" distR="0">
            <wp:extent cx="5732145" cy="4110355"/>
            <wp:effectExtent l="0" t="0" r="1905" b="4445"/>
            <wp:docPr id="10"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1755DE" w:rsidRPr="00797A8B" w:rsidRDefault="001755DE" w:rsidP="001755DE">
      <w:pPr>
        <w:spacing w:line="259" w:lineRule="auto"/>
        <w:rPr>
          <w:rFonts w:ascii="Palatino Linotype" w:hAnsi="Palatino Linotype"/>
          <w:b/>
          <w:color w:val="0D0D0D"/>
          <w:sz w:val="18"/>
          <w:szCs w:val="18"/>
        </w:rPr>
      </w:pPr>
      <w:r w:rsidRPr="00797A8B">
        <w:rPr>
          <w:rFonts w:ascii="Palatino Linotype" w:hAnsi="Palatino Linotype"/>
          <w:b/>
          <w:color w:val="0D0D0D"/>
          <w:sz w:val="18"/>
          <w:szCs w:val="18"/>
        </w:rPr>
        <w:t xml:space="preserve">  </w:t>
      </w:r>
    </w:p>
    <w:p w:rsidR="001755DE" w:rsidRDefault="001755DE" w:rsidP="001755DE">
      <w:pPr>
        <w:spacing w:line="259" w:lineRule="auto"/>
        <w:rPr>
          <w:rFonts w:ascii="Palatino Linotype" w:hAnsi="Palatino Linotype" w:cs="Arial"/>
          <w:bCs/>
        </w:rPr>
      </w:pPr>
      <w:r w:rsidRPr="00797A8B">
        <w:rPr>
          <w:rFonts w:ascii="Palatino Linotype" w:hAnsi="Palatino Linotype"/>
          <w:b/>
          <w:color w:val="0D0D0D"/>
          <w:sz w:val="18"/>
          <w:szCs w:val="18"/>
        </w:rPr>
        <w:t>Source: MCX, ICEX, BSE &amp; NSE.</w:t>
      </w:r>
      <w:r w:rsidRPr="00B92D2D">
        <w:rPr>
          <w:rFonts w:ascii="Palatino Linotype" w:hAnsi="Palatino Linotype" w:cs="Arial"/>
          <w:bCs/>
        </w:rPr>
        <w:t xml:space="preserve">                                                                  </w:t>
      </w:r>
    </w:p>
    <w:p w:rsidR="001755DE" w:rsidRDefault="001755DE" w:rsidP="001755DE">
      <w:pPr>
        <w:pStyle w:val="ListParagraph"/>
        <w:spacing w:after="0" w:line="240" w:lineRule="auto"/>
        <w:ind w:left="-284" w:hanging="152"/>
        <w:jc w:val="center"/>
        <w:rPr>
          <w:rFonts w:ascii="Palatino Linotype" w:hAnsi="Palatino Linotype"/>
          <w:b/>
          <w:sz w:val="22"/>
          <w:szCs w:val="22"/>
        </w:rPr>
      </w:pPr>
      <w:r>
        <w:rPr>
          <w:rFonts w:ascii="Palatino Linotype" w:hAnsi="Palatino Linotype"/>
          <w:b/>
          <w:sz w:val="22"/>
          <w:szCs w:val="22"/>
        </w:rPr>
        <w:t>F</w:t>
      </w:r>
      <w:r w:rsidRPr="009B2971">
        <w:rPr>
          <w:rFonts w:ascii="Palatino Linotype" w:hAnsi="Palatino Linotype"/>
          <w:b/>
          <w:sz w:val="22"/>
          <w:szCs w:val="22"/>
        </w:rPr>
        <w:t>igure 1</w:t>
      </w:r>
      <w:r>
        <w:rPr>
          <w:rFonts w:ascii="Palatino Linotype" w:hAnsi="Palatino Linotype"/>
          <w:b/>
          <w:sz w:val="22"/>
          <w:szCs w:val="22"/>
        </w:rPr>
        <w:t>7</w:t>
      </w:r>
      <w:r w:rsidRPr="009B2971">
        <w:rPr>
          <w:rFonts w:ascii="Palatino Linotype" w:hAnsi="Palatino Linotype"/>
          <w:b/>
          <w:sz w:val="22"/>
          <w:szCs w:val="22"/>
        </w:rPr>
        <w:t xml:space="preserve">: Trends in </w:t>
      </w:r>
      <w:r w:rsidRPr="00484D1D">
        <w:rPr>
          <w:rFonts w:ascii="Palatino Linotype" w:hAnsi="Palatino Linotype"/>
          <w:b/>
          <w:sz w:val="22"/>
          <w:szCs w:val="22"/>
        </w:rPr>
        <w:t>Turnover</w:t>
      </w:r>
      <w:r w:rsidRPr="009B2971">
        <w:rPr>
          <w:rFonts w:ascii="Palatino Linotype" w:hAnsi="Palatino Linotype"/>
          <w:b/>
          <w:sz w:val="22"/>
          <w:szCs w:val="22"/>
        </w:rPr>
        <w:t xml:space="preserve"> of Non-Agricultural </w:t>
      </w:r>
      <w:r>
        <w:rPr>
          <w:rFonts w:ascii="Palatino Linotype" w:hAnsi="Palatino Linotype"/>
          <w:b/>
          <w:sz w:val="22"/>
          <w:szCs w:val="22"/>
        </w:rPr>
        <w:t xml:space="preserve">Options contracts </w:t>
      </w:r>
    </w:p>
    <w:p w:rsidR="001755DE" w:rsidRDefault="001755DE" w:rsidP="001755DE">
      <w:pPr>
        <w:pStyle w:val="ListParagraph"/>
        <w:spacing w:after="0" w:line="240" w:lineRule="auto"/>
        <w:ind w:left="-284" w:hanging="152"/>
        <w:jc w:val="center"/>
        <w:rPr>
          <w:rFonts w:ascii="Palatino Linotype" w:hAnsi="Palatino Linotype"/>
          <w:b/>
          <w:sz w:val="22"/>
          <w:szCs w:val="22"/>
        </w:rPr>
      </w:pPr>
      <w:r w:rsidRPr="00797A8B">
        <w:rPr>
          <w:noProof/>
          <w:lang w:val="en-IN" w:eastAsia="en-IN" w:bidi="hi-IN"/>
        </w:rPr>
        <w:drawing>
          <wp:inline distT="0" distB="0" distL="0" distR="0">
            <wp:extent cx="5732145" cy="3647440"/>
            <wp:effectExtent l="0" t="0" r="1905" b="10160"/>
            <wp:docPr id="9"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1755DE" w:rsidRDefault="001755DE" w:rsidP="001755DE">
      <w:pPr>
        <w:spacing w:line="259" w:lineRule="auto"/>
        <w:rPr>
          <w:rFonts w:ascii="Palatino Linotype" w:hAnsi="Palatino Linotype" w:cs="Arial"/>
          <w:bCs/>
        </w:rPr>
      </w:pPr>
      <w:r w:rsidRPr="00797A8B">
        <w:rPr>
          <w:rFonts w:ascii="Palatino Linotype" w:hAnsi="Palatino Linotype"/>
          <w:b/>
          <w:color w:val="0D0D0D"/>
          <w:sz w:val="18"/>
          <w:szCs w:val="18"/>
        </w:rPr>
        <w:t>Source: MCX, BSE &amp; NSE.</w:t>
      </w:r>
      <w:r>
        <w:rPr>
          <w:rFonts w:ascii="Palatino Linotype" w:hAnsi="Palatino Linotype" w:cs="Arial"/>
          <w:bCs/>
        </w:rPr>
        <w:t xml:space="preserve">                                        </w:t>
      </w:r>
    </w:p>
    <w:p w:rsidR="00E344DD" w:rsidRDefault="00E344DD" w:rsidP="00E344DD">
      <w:pPr>
        <w:spacing w:line="259" w:lineRule="auto"/>
        <w:rPr>
          <w:rFonts w:ascii="Palatino Linotype" w:hAnsi="Palatino Linotype" w:cs="Arial"/>
          <w:bCs/>
        </w:rPr>
      </w:pPr>
      <w:r>
        <w:rPr>
          <w:rFonts w:ascii="Palatino Linotype" w:hAnsi="Palatino Linotype" w:cs="Arial"/>
          <w:bCs/>
        </w:rPr>
        <w:t xml:space="preserve">                                        </w:t>
      </w:r>
      <w:bookmarkStart w:id="1" w:name="_GoBack"/>
      <w:bookmarkEnd w:id="1"/>
    </w:p>
    <w:p w:rsidR="00E344DD" w:rsidRDefault="00E344DD">
      <w:pPr>
        <w:rPr>
          <w:rFonts w:ascii="Garamond" w:hAnsi="Garamond"/>
          <w:b/>
          <w:color w:val="0D0D0D" w:themeColor="text1" w:themeTint="F2"/>
          <w:sz w:val="18"/>
          <w:szCs w:val="18"/>
        </w:rPr>
      </w:pPr>
    </w:p>
    <w:p w:rsidR="00E344DD" w:rsidRDefault="00E344DD">
      <w:pPr>
        <w:rPr>
          <w:rFonts w:ascii="Garamond" w:hAnsi="Garamond"/>
          <w:b/>
          <w:color w:val="0D0D0D" w:themeColor="text1" w:themeTint="F2"/>
          <w:sz w:val="18"/>
          <w:szCs w:val="18"/>
        </w:rPr>
      </w:pPr>
    </w:p>
    <w:p w:rsidR="002576F1" w:rsidRDefault="002576F1" w:rsidP="00146D0E">
      <w:pPr>
        <w:spacing w:after="160" w:line="259" w:lineRule="auto"/>
        <w:rPr>
          <w:rFonts w:ascii="Garamond" w:hAnsi="Garamond"/>
          <w:b/>
          <w:color w:val="0D0D0D" w:themeColor="text1" w:themeTint="F2"/>
          <w:sz w:val="18"/>
          <w:szCs w:val="18"/>
        </w:rPr>
      </w:pPr>
    </w:p>
    <w:p w:rsidR="00D46528" w:rsidRPr="00D46528" w:rsidRDefault="00D46528" w:rsidP="00396049">
      <w:pPr>
        <w:keepNext/>
        <w:keepLines/>
        <w:spacing w:before="240" w:after="40"/>
        <w:contextualSpacing/>
        <w:jc w:val="center"/>
        <w:outlineLvl w:val="3"/>
        <w:rPr>
          <w:rFonts w:ascii="Palatino Linotype" w:eastAsia="Times New Roman" w:hAnsi="Palatino Linotype"/>
          <w:b/>
          <w:color w:val="000000"/>
          <w:lang w:val="en-IN" w:eastAsia="en-IN"/>
        </w:rPr>
      </w:pPr>
      <w:r w:rsidRPr="00D46528">
        <w:rPr>
          <w:rFonts w:ascii="Palatino Linotype" w:eastAsia="Times New Roman" w:hAnsi="Palatino Linotype"/>
          <w:b/>
          <w:color w:val="000000"/>
          <w:lang w:val="en-IN" w:eastAsia="en-IN"/>
        </w:rPr>
        <w:t>OVERVIEW OF THE GLOBAL FINANCIAL MARKETS</w:t>
      </w:r>
    </w:p>
    <w:p w:rsidR="00D46528" w:rsidRPr="00D46528" w:rsidRDefault="00D46528" w:rsidP="00D46528">
      <w:pPr>
        <w:ind w:left="360"/>
        <w:contextualSpacing/>
        <w:jc w:val="both"/>
        <w:rPr>
          <w:rFonts w:ascii="Times New Roman" w:eastAsia="Times New Roman" w:hAnsi="Times New Roman"/>
          <w:sz w:val="20"/>
          <w:szCs w:val="20"/>
          <w:cs/>
          <w:lang w:val="en-US" w:eastAsia="en-GB" w:bidi="bn-IN"/>
        </w:rPr>
      </w:pPr>
    </w:p>
    <w:p w:rsidR="00D46528" w:rsidRPr="00D46528" w:rsidRDefault="00D46528" w:rsidP="00D46528">
      <w:pPr>
        <w:spacing w:line="23" w:lineRule="atLeast"/>
        <w:ind w:left="360"/>
        <w:contextualSpacing/>
        <w:jc w:val="both"/>
        <w:rPr>
          <w:rFonts w:ascii="Times New Roman" w:eastAsia="Times New Roman" w:hAnsi="Times New Roman"/>
          <w:sz w:val="20"/>
          <w:szCs w:val="20"/>
          <w:cs/>
          <w:lang w:val="en-US" w:eastAsia="en-GB" w:bidi="bn-IN"/>
        </w:rPr>
      </w:pPr>
    </w:p>
    <w:p w:rsidR="00A12A17" w:rsidRPr="00C93BBA"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93BBA">
        <w:rPr>
          <w:rFonts w:ascii="Palatino Linotype" w:eastAsia="Times New Roman" w:hAnsi="Palatino Linotype"/>
          <w:sz w:val="22"/>
          <w:szCs w:val="22"/>
          <w:lang w:val="en-US"/>
        </w:rPr>
        <w:t xml:space="preserve">The JPMorgan Global Composite Purchasing Managers’ Index (PMI), compiled by IHS Markit, increased to </w:t>
      </w:r>
      <w:r>
        <w:rPr>
          <w:rFonts w:ascii="Palatino Linotype" w:eastAsia="Times New Roman" w:hAnsi="Palatino Linotype"/>
          <w:sz w:val="22"/>
          <w:szCs w:val="22"/>
          <w:lang w:val="en-US"/>
        </w:rPr>
        <w:t>56.3</w:t>
      </w:r>
      <w:r w:rsidRPr="00C93BBA">
        <w:rPr>
          <w:rFonts w:ascii="Palatino Linotype" w:eastAsia="Times New Roman" w:hAnsi="Palatino Linotype"/>
          <w:sz w:val="22"/>
          <w:szCs w:val="22"/>
          <w:lang w:val="en-US"/>
        </w:rPr>
        <w:t xml:space="preserve"> in </w:t>
      </w:r>
      <w:r>
        <w:rPr>
          <w:rFonts w:ascii="Palatino Linotype" w:eastAsia="Times New Roman" w:hAnsi="Palatino Linotype"/>
          <w:sz w:val="22"/>
          <w:szCs w:val="22"/>
          <w:lang w:val="en-US"/>
        </w:rPr>
        <w:t>March 2021</w:t>
      </w:r>
      <w:r w:rsidRPr="00C93BBA">
        <w:rPr>
          <w:rFonts w:ascii="Palatino Linotype" w:eastAsia="Times New Roman" w:hAnsi="Palatino Linotype"/>
          <w:sz w:val="22"/>
          <w:szCs w:val="22"/>
          <w:lang w:val="en-US"/>
        </w:rPr>
        <w:t>, up from 53.2</w:t>
      </w:r>
      <w:r>
        <w:rPr>
          <w:rFonts w:ascii="Palatino Linotype" w:eastAsia="Times New Roman" w:hAnsi="Palatino Linotype"/>
          <w:sz w:val="22"/>
          <w:szCs w:val="22"/>
          <w:lang w:val="en-US"/>
        </w:rPr>
        <w:t xml:space="preserve"> </w:t>
      </w:r>
      <w:r w:rsidRPr="00C93BBA">
        <w:rPr>
          <w:rFonts w:ascii="Palatino Linotype" w:eastAsia="Times New Roman" w:hAnsi="Palatino Linotype"/>
          <w:sz w:val="22"/>
          <w:szCs w:val="22"/>
          <w:lang w:val="en-US"/>
        </w:rPr>
        <w:t xml:space="preserve">in </w:t>
      </w:r>
      <w:r>
        <w:rPr>
          <w:rFonts w:ascii="Palatino Linotype" w:eastAsia="Times New Roman" w:hAnsi="Palatino Linotype"/>
          <w:sz w:val="22"/>
          <w:szCs w:val="22"/>
          <w:lang w:val="en-US"/>
        </w:rPr>
        <w:t>February 2021</w:t>
      </w:r>
      <w:r w:rsidRPr="00C93BBA">
        <w:rPr>
          <w:rFonts w:ascii="Palatino Linotype" w:eastAsia="Times New Roman" w:hAnsi="Palatino Linotype"/>
          <w:sz w:val="22"/>
          <w:szCs w:val="22"/>
          <w:lang w:val="en-US"/>
        </w:rPr>
        <w:t xml:space="preserve">. A reading of PMI above 50 means growth or expansion in economic activity. </w:t>
      </w:r>
    </w:p>
    <w:p w:rsidR="00A12A17" w:rsidRPr="00C93BBA" w:rsidRDefault="00A12A17" w:rsidP="00A12A17">
      <w:pPr>
        <w:spacing w:before="100" w:beforeAutospacing="1" w:line="276" w:lineRule="auto"/>
        <w:ind w:left="360" w:right="107"/>
        <w:contextualSpacing/>
        <w:jc w:val="both"/>
        <w:rPr>
          <w:rFonts w:ascii="Palatino Linotype" w:eastAsia="Times New Roman" w:hAnsi="Palatino Linotype"/>
          <w:sz w:val="22"/>
          <w:szCs w:val="22"/>
        </w:rPr>
      </w:pPr>
    </w:p>
    <w:p w:rsidR="00A12A17" w:rsidRPr="00C93BBA"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93BBA">
        <w:rPr>
          <w:rFonts w:ascii="Palatino Linotype" w:eastAsia="Times New Roman" w:hAnsi="Palatino Linotype"/>
          <w:sz w:val="22"/>
          <w:szCs w:val="22"/>
        </w:rPr>
        <w:t xml:space="preserve">In its </w:t>
      </w:r>
      <w:r>
        <w:rPr>
          <w:rFonts w:ascii="Palatino Linotype" w:eastAsia="Times New Roman" w:hAnsi="Palatino Linotype"/>
          <w:sz w:val="22"/>
          <w:szCs w:val="22"/>
        </w:rPr>
        <w:t>April</w:t>
      </w:r>
      <w:r w:rsidRPr="00C93BBA">
        <w:rPr>
          <w:rFonts w:ascii="Palatino Linotype" w:eastAsia="Times New Roman" w:hAnsi="Palatino Linotype"/>
          <w:sz w:val="22"/>
          <w:szCs w:val="22"/>
        </w:rPr>
        <w:t xml:space="preserve"> 2021 release of </w:t>
      </w:r>
      <w:r w:rsidRPr="00EE72A3">
        <w:rPr>
          <w:rFonts w:ascii="Palatino Linotype" w:eastAsia="Times New Roman" w:hAnsi="Palatino Linotype"/>
          <w:sz w:val="22"/>
          <w:szCs w:val="22"/>
        </w:rPr>
        <w:t>World Economic Outlook</w:t>
      </w:r>
      <w:r w:rsidRPr="00C93BBA">
        <w:rPr>
          <w:rFonts w:ascii="Palatino Linotype" w:eastAsia="Times New Roman" w:hAnsi="Palatino Linotype"/>
          <w:sz w:val="22"/>
          <w:szCs w:val="22"/>
        </w:rPr>
        <w:t xml:space="preserve">, </w:t>
      </w:r>
      <w:r>
        <w:rPr>
          <w:rFonts w:ascii="Palatino Linotype" w:eastAsia="Times New Roman" w:hAnsi="Palatino Linotype"/>
          <w:sz w:val="22"/>
          <w:szCs w:val="22"/>
        </w:rPr>
        <w:t>IMF</w:t>
      </w:r>
      <w:r w:rsidRPr="00C93BBA">
        <w:rPr>
          <w:rFonts w:ascii="Palatino Linotype" w:eastAsia="Times New Roman" w:hAnsi="Palatino Linotype"/>
          <w:sz w:val="22"/>
          <w:szCs w:val="22"/>
        </w:rPr>
        <w:t xml:space="preserve"> estimated that during 202</w:t>
      </w:r>
      <w:r>
        <w:rPr>
          <w:rFonts w:ascii="Palatino Linotype" w:eastAsia="Times New Roman" w:hAnsi="Palatino Linotype"/>
          <w:sz w:val="22"/>
          <w:szCs w:val="22"/>
        </w:rPr>
        <w:t>0</w:t>
      </w:r>
      <w:r w:rsidRPr="00C93BBA">
        <w:rPr>
          <w:rFonts w:ascii="Palatino Linotype" w:eastAsia="Times New Roman" w:hAnsi="Palatino Linotype"/>
          <w:sz w:val="22"/>
          <w:szCs w:val="22"/>
        </w:rPr>
        <w:t xml:space="preserve">, the world output shrank by </w:t>
      </w:r>
      <w:r>
        <w:rPr>
          <w:rFonts w:ascii="Palatino Linotype" w:eastAsia="Times New Roman" w:hAnsi="Palatino Linotype"/>
          <w:sz w:val="22"/>
          <w:szCs w:val="22"/>
        </w:rPr>
        <w:t>3.3</w:t>
      </w:r>
      <w:r w:rsidRPr="00C93BBA">
        <w:rPr>
          <w:rFonts w:ascii="Palatino Linotype" w:eastAsia="Times New Roman" w:hAnsi="Palatino Linotype"/>
          <w:sz w:val="22"/>
          <w:szCs w:val="22"/>
        </w:rPr>
        <w:t xml:space="preserve"> per cent.</w:t>
      </w:r>
      <w:r>
        <w:rPr>
          <w:rFonts w:ascii="Palatino Linotype" w:eastAsia="Times New Roman" w:hAnsi="Palatino Linotype"/>
          <w:sz w:val="22"/>
          <w:szCs w:val="22"/>
        </w:rPr>
        <w:t xml:space="preserve"> The world economy is projected to grow at 6.0 per cent. The advanced economies are expected to grow at 5.1 per cent whereas emerging market growth rate is estimated as 6.7 per cent.</w:t>
      </w:r>
      <w:r w:rsidRPr="00C93BBA">
        <w:rPr>
          <w:rFonts w:ascii="Palatino Linotype" w:eastAsia="Times New Roman" w:hAnsi="Palatino Linotype"/>
          <w:sz w:val="22"/>
          <w:szCs w:val="22"/>
          <w:lang w:val="en-US"/>
        </w:rPr>
        <w:t xml:space="preserve"> </w:t>
      </w:r>
    </w:p>
    <w:p w:rsidR="00A12A17" w:rsidRPr="000D3B57"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0D3B57"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C57A69">
        <w:rPr>
          <w:rFonts w:ascii="Palatino Linotype" w:eastAsia="Times New Roman" w:hAnsi="Palatino Linotype"/>
          <w:sz w:val="22"/>
          <w:szCs w:val="22"/>
          <w:lang w:val="en-US"/>
        </w:rPr>
        <w:t>The advanced markets outperformed</w:t>
      </w:r>
      <w:r w:rsidRPr="00556F4C">
        <w:rPr>
          <w:rFonts w:ascii="Palatino Linotype" w:eastAsia="Times New Roman" w:hAnsi="Palatino Linotype"/>
          <w:sz w:val="22"/>
          <w:szCs w:val="22"/>
          <w:lang w:val="en-US"/>
        </w:rPr>
        <w:t xml:space="preserve"> </w:t>
      </w:r>
      <w:r w:rsidRPr="00C57A69">
        <w:rPr>
          <w:rFonts w:ascii="Palatino Linotype" w:eastAsia="Times New Roman" w:hAnsi="Palatino Linotype"/>
          <w:sz w:val="22"/>
          <w:szCs w:val="22"/>
          <w:lang w:val="en-US"/>
        </w:rPr>
        <w:t xml:space="preserve">emerging equity markets in </w:t>
      </w:r>
      <w:r>
        <w:rPr>
          <w:rFonts w:ascii="Palatino Linotype" w:eastAsia="Times New Roman" w:hAnsi="Palatino Linotype"/>
          <w:sz w:val="22"/>
          <w:szCs w:val="22"/>
          <w:lang w:val="en-US"/>
        </w:rPr>
        <w:t>March</w:t>
      </w:r>
      <w:r w:rsidRPr="00C57A69">
        <w:rPr>
          <w:rFonts w:ascii="Palatino Linotype" w:eastAsia="Times New Roman" w:hAnsi="Palatino Linotype"/>
          <w:sz w:val="22"/>
          <w:szCs w:val="22"/>
          <w:lang w:val="en-US"/>
        </w:rPr>
        <w:t xml:space="preserve"> 2021. MSCI Emerging Market (EM) index </w:t>
      </w:r>
      <w:r>
        <w:rPr>
          <w:rFonts w:ascii="Palatino Linotype" w:eastAsia="Times New Roman" w:hAnsi="Palatino Linotype"/>
          <w:sz w:val="22"/>
          <w:szCs w:val="22"/>
          <w:lang w:val="en-US"/>
        </w:rPr>
        <w:t>decreased</w:t>
      </w:r>
      <w:r w:rsidRPr="00C57A69">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1.7</w:t>
      </w:r>
      <w:r w:rsidRPr="00C57A69">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March</w:t>
      </w:r>
      <w:r w:rsidRPr="00C57A69">
        <w:rPr>
          <w:rFonts w:ascii="Palatino Linotype" w:eastAsia="Times New Roman" w:hAnsi="Palatino Linotype"/>
          <w:sz w:val="22"/>
          <w:szCs w:val="22"/>
          <w:lang w:val="en-US"/>
        </w:rPr>
        <w:t xml:space="preserve"> 2021 over the previous month, while MSCI World index </w:t>
      </w:r>
      <w:r>
        <w:rPr>
          <w:rFonts w:ascii="Palatino Linotype" w:eastAsia="Times New Roman" w:hAnsi="Palatino Linotype"/>
          <w:sz w:val="22"/>
          <w:szCs w:val="22"/>
          <w:lang w:val="en-US"/>
        </w:rPr>
        <w:t>increased</w:t>
      </w:r>
      <w:r w:rsidRPr="00C57A69">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2.5</w:t>
      </w:r>
      <w:r w:rsidRPr="00C57A69">
        <w:rPr>
          <w:rFonts w:ascii="Palatino Linotype" w:eastAsia="Times New Roman" w:hAnsi="Palatino Linotype"/>
          <w:sz w:val="22"/>
          <w:szCs w:val="22"/>
          <w:lang w:val="en-US"/>
        </w:rPr>
        <w:t xml:space="preserve"> per cent during same period. </w:t>
      </w:r>
    </w:p>
    <w:p w:rsidR="00A12A17" w:rsidRPr="000D3B57"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0D3B57"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0D3B57">
        <w:rPr>
          <w:rFonts w:ascii="Palatino Linotype" w:eastAsia="Times New Roman" w:hAnsi="Palatino Linotype"/>
          <w:sz w:val="22"/>
          <w:szCs w:val="22"/>
          <w:lang w:val="en-US"/>
        </w:rPr>
        <w:t xml:space="preserve">The volatility in the equity markets </w:t>
      </w:r>
      <w:r>
        <w:rPr>
          <w:rFonts w:ascii="Palatino Linotype" w:eastAsia="Times New Roman" w:hAnsi="Palatino Linotype"/>
          <w:sz w:val="22"/>
          <w:szCs w:val="22"/>
          <w:lang w:val="en-US"/>
        </w:rPr>
        <w:t>decreased</w:t>
      </w:r>
      <w:r w:rsidRPr="000D3B57">
        <w:rPr>
          <w:rFonts w:ascii="Palatino Linotype" w:eastAsia="Times New Roman" w:hAnsi="Palatino Linotype"/>
          <w:sz w:val="22"/>
          <w:szCs w:val="22"/>
          <w:lang w:val="en-US"/>
        </w:rPr>
        <w:t xml:space="preserve"> during </w:t>
      </w:r>
      <w:r>
        <w:rPr>
          <w:rFonts w:ascii="Palatino Linotype" w:eastAsia="Times New Roman" w:hAnsi="Palatino Linotype"/>
          <w:sz w:val="22"/>
          <w:szCs w:val="22"/>
          <w:lang w:val="en-US"/>
        </w:rPr>
        <w:t>March</w:t>
      </w:r>
      <w:r w:rsidRPr="000D3B57">
        <w:rPr>
          <w:rFonts w:ascii="Palatino Linotype" w:eastAsia="Times New Roman" w:hAnsi="Palatino Linotype"/>
          <w:sz w:val="22"/>
          <w:szCs w:val="22"/>
          <w:lang w:val="en-US"/>
        </w:rPr>
        <w:t xml:space="preserve"> 2021. The CBOE VIX index </w:t>
      </w:r>
      <w:r>
        <w:rPr>
          <w:rFonts w:ascii="Palatino Linotype" w:eastAsia="Times New Roman" w:hAnsi="Palatino Linotype"/>
          <w:sz w:val="22"/>
          <w:szCs w:val="22"/>
          <w:lang w:val="en-US"/>
        </w:rPr>
        <w:t>decreased</w:t>
      </w:r>
      <w:r w:rsidRPr="000D3B57">
        <w:rPr>
          <w:rFonts w:ascii="Palatino Linotype" w:eastAsia="Times New Roman" w:hAnsi="Palatino Linotype"/>
          <w:sz w:val="22"/>
          <w:szCs w:val="22"/>
          <w:lang w:val="en-US"/>
        </w:rPr>
        <w:t xml:space="preserve"> to</w:t>
      </w:r>
      <w:r w:rsidRPr="00847B9F">
        <w:t xml:space="preserve"> </w:t>
      </w:r>
      <w:r>
        <w:rPr>
          <w:rFonts w:ascii="Palatino Linotype" w:eastAsia="Times New Roman" w:hAnsi="Palatino Linotype"/>
          <w:sz w:val="22"/>
          <w:szCs w:val="22"/>
          <w:lang w:val="en-US"/>
        </w:rPr>
        <w:t>19.4</w:t>
      </w:r>
      <w:r w:rsidRPr="000D3B57">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at the</w:t>
      </w:r>
      <w:r w:rsidRPr="000D3B57">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end of March 2021</w:t>
      </w:r>
      <w:r w:rsidRPr="000D3B57">
        <w:rPr>
          <w:rFonts w:ascii="Palatino Linotype" w:eastAsia="Times New Roman" w:hAnsi="Palatino Linotype"/>
          <w:sz w:val="22"/>
          <w:szCs w:val="22"/>
          <w:lang w:val="en-US"/>
        </w:rPr>
        <w:t xml:space="preserve"> from </w:t>
      </w:r>
      <w:r>
        <w:rPr>
          <w:rFonts w:ascii="Palatino Linotype" w:eastAsia="Times New Roman" w:hAnsi="Palatino Linotype"/>
          <w:sz w:val="22"/>
          <w:szCs w:val="22"/>
          <w:lang w:val="en-US"/>
        </w:rPr>
        <w:t>28.0</w:t>
      </w:r>
      <w:r w:rsidRPr="000D3B57">
        <w:rPr>
          <w:rFonts w:ascii="Palatino Linotype" w:eastAsia="Times New Roman" w:hAnsi="Palatino Linotype"/>
          <w:sz w:val="22"/>
          <w:szCs w:val="22"/>
          <w:lang w:val="en-US"/>
        </w:rPr>
        <w:t xml:space="preserve"> as </w:t>
      </w:r>
      <w:r>
        <w:rPr>
          <w:rFonts w:ascii="Palatino Linotype" w:eastAsia="Times New Roman" w:hAnsi="Palatino Linotype"/>
          <w:sz w:val="22"/>
          <w:szCs w:val="22"/>
          <w:lang w:val="en-US"/>
        </w:rPr>
        <w:t>at</w:t>
      </w:r>
      <w:r w:rsidRPr="000D3B57">
        <w:rPr>
          <w:rFonts w:ascii="Palatino Linotype" w:eastAsia="Times New Roman" w:hAnsi="Palatino Linotype"/>
          <w:sz w:val="22"/>
          <w:szCs w:val="22"/>
          <w:lang w:val="en-US"/>
        </w:rPr>
        <w:t xml:space="preserve"> the end of last month.</w:t>
      </w:r>
    </w:p>
    <w:p w:rsidR="00A12A17" w:rsidRPr="000D3B57"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0D3B57"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T</w:t>
      </w:r>
      <w:r w:rsidRPr="000D3B57">
        <w:rPr>
          <w:rFonts w:ascii="Palatino Linotype" w:eastAsia="Times New Roman" w:hAnsi="Palatino Linotype"/>
          <w:sz w:val="22"/>
          <w:szCs w:val="22"/>
          <w:lang w:val="en-US"/>
        </w:rPr>
        <w:t xml:space="preserve">he US 10-year government bond yield increased by </w:t>
      </w:r>
      <w:r>
        <w:rPr>
          <w:rFonts w:ascii="Palatino Linotype" w:eastAsia="Times New Roman" w:hAnsi="Palatino Linotype"/>
          <w:sz w:val="22"/>
          <w:szCs w:val="22"/>
          <w:lang w:val="en-US"/>
        </w:rPr>
        <w:t>29</w:t>
      </w:r>
      <w:r w:rsidRPr="000D3B57">
        <w:rPr>
          <w:rFonts w:ascii="Palatino Linotype" w:eastAsia="Times New Roman" w:hAnsi="Palatino Linotype"/>
          <w:sz w:val="22"/>
          <w:szCs w:val="22"/>
          <w:lang w:val="en-US"/>
        </w:rPr>
        <w:t xml:space="preserve"> bps to </w:t>
      </w:r>
      <w:r>
        <w:rPr>
          <w:rFonts w:ascii="Palatino Linotype" w:eastAsia="Times New Roman" w:hAnsi="Palatino Linotype"/>
          <w:sz w:val="22"/>
          <w:szCs w:val="22"/>
          <w:lang w:val="en-US"/>
        </w:rPr>
        <w:t>1.8</w:t>
      </w:r>
      <w:r w:rsidRPr="000D3B57">
        <w:rPr>
          <w:rFonts w:ascii="Palatino Linotype" w:eastAsia="Times New Roman" w:hAnsi="Palatino Linotype"/>
          <w:sz w:val="22"/>
          <w:szCs w:val="22"/>
          <w:lang w:val="en-US"/>
        </w:rPr>
        <w:t xml:space="preserve"> per cent during </w:t>
      </w:r>
      <w:r>
        <w:rPr>
          <w:rFonts w:ascii="Palatino Linotype" w:eastAsia="Times New Roman" w:hAnsi="Palatino Linotype"/>
          <w:sz w:val="22"/>
          <w:szCs w:val="22"/>
          <w:lang w:val="en-US"/>
        </w:rPr>
        <w:t>March</w:t>
      </w:r>
      <w:r w:rsidRPr="000D3B57">
        <w:rPr>
          <w:rFonts w:ascii="Palatino Linotype" w:eastAsia="Times New Roman" w:hAnsi="Palatino Linotype"/>
          <w:sz w:val="22"/>
          <w:szCs w:val="22"/>
          <w:lang w:val="en-US"/>
        </w:rPr>
        <w:t xml:space="preserve"> 202</w:t>
      </w:r>
      <w:r>
        <w:rPr>
          <w:rFonts w:ascii="Palatino Linotype" w:eastAsia="Times New Roman" w:hAnsi="Palatino Linotype"/>
          <w:sz w:val="22"/>
          <w:szCs w:val="22"/>
          <w:lang w:val="en-US"/>
        </w:rPr>
        <w:t>1</w:t>
      </w:r>
      <w:r w:rsidRPr="000D3B57">
        <w:rPr>
          <w:rFonts w:ascii="Palatino Linotype" w:eastAsia="Times New Roman" w:hAnsi="Palatino Linotype"/>
          <w:sz w:val="22"/>
          <w:szCs w:val="22"/>
          <w:lang w:val="en-US"/>
        </w:rPr>
        <w:t xml:space="preserve">. The 10-year government bond yield of India </w:t>
      </w:r>
      <w:r>
        <w:rPr>
          <w:rFonts w:ascii="Palatino Linotype" w:eastAsia="Times New Roman" w:hAnsi="Palatino Linotype"/>
          <w:sz w:val="22"/>
          <w:szCs w:val="22"/>
          <w:lang w:val="en-US"/>
        </w:rPr>
        <w:t>decreased</w:t>
      </w:r>
      <w:r w:rsidRPr="000D3B57">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 xml:space="preserve">5 </w:t>
      </w:r>
      <w:r w:rsidRPr="000D3B57">
        <w:rPr>
          <w:rFonts w:ascii="Palatino Linotype" w:eastAsia="Times New Roman" w:hAnsi="Palatino Linotype"/>
          <w:sz w:val="22"/>
          <w:szCs w:val="22"/>
          <w:lang w:val="en-US"/>
        </w:rPr>
        <w:t xml:space="preserve">bps to </w:t>
      </w:r>
      <w:r>
        <w:rPr>
          <w:rFonts w:ascii="Palatino Linotype" w:eastAsia="Times New Roman" w:hAnsi="Palatino Linotype"/>
          <w:sz w:val="22"/>
          <w:szCs w:val="22"/>
          <w:lang w:val="en-US"/>
        </w:rPr>
        <w:t>6.2</w:t>
      </w:r>
      <w:r w:rsidRPr="000D3B57">
        <w:rPr>
          <w:rFonts w:ascii="Palatino Linotype" w:eastAsia="Times New Roman" w:hAnsi="Palatino Linotype"/>
          <w:sz w:val="22"/>
          <w:szCs w:val="22"/>
          <w:lang w:val="en-US"/>
        </w:rPr>
        <w:t xml:space="preserve"> per cent </w:t>
      </w:r>
      <w:r>
        <w:rPr>
          <w:rFonts w:ascii="Palatino Linotype" w:eastAsia="Times New Roman" w:hAnsi="Palatino Linotype"/>
          <w:sz w:val="22"/>
          <w:szCs w:val="22"/>
          <w:lang w:val="en-US"/>
        </w:rPr>
        <w:t>at the end of March 2021</w:t>
      </w:r>
      <w:r w:rsidRPr="000D3B57">
        <w:rPr>
          <w:rFonts w:ascii="Palatino Linotype" w:eastAsia="Times New Roman" w:hAnsi="Palatino Linotype"/>
          <w:sz w:val="22"/>
          <w:szCs w:val="22"/>
          <w:lang w:val="en-US"/>
        </w:rPr>
        <w:t>, compared to end of the previous month.</w:t>
      </w:r>
    </w:p>
    <w:p w:rsidR="00A12A17" w:rsidRPr="00634D19"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634D19"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634D19">
        <w:rPr>
          <w:rFonts w:ascii="Palatino Linotype" w:eastAsia="Times New Roman" w:hAnsi="Palatino Linotype"/>
          <w:sz w:val="22"/>
          <w:szCs w:val="22"/>
          <w:lang w:val="en-US"/>
        </w:rPr>
        <w:t>The WTI crude</w:t>
      </w:r>
      <w:r>
        <w:rPr>
          <w:rFonts w:ascii="Palatino Linotype" w:eastAsia="Times New Roman" w:hAnsi="Palatino Linotype"/>
          <w:sz w:val="22"/>
          <w:szCs w:val="22"/>
          <w:lang w:val="en-US"/>
        </w:rPr>
        <w:t xml:space="preserve"> </w:t>
      </w:r>
      <w:r w:rsidRPr="00634D19">
        <w:rPr>
          <w:rFonts w:ascii="Palatino Linotype" w:eastAsia="Times New Roman" w:hAnsi="Palatino Linotype"/>
          <w:sz w:val="22"/>
          <w:szCs w:val="22"/>
          <w:lang w:val="en-US"/>
        </w:rPr>
        <w:t xml:space="preserve">oil prices </w:t>
      </w:r>
      <w:r>
        <w:rPr>
          <w:rFonts w:ascii="Palatino Linotype" w:eastAsia="Times New Roman" w:hAnsi="Palatino Linotype"/>
          <w:sz w:val="22"/>
          <w:szCs w:val="22"/>
          <w:lang w:val="en-US"/>
        </w:rPr>
        <w:t>decreased</w:t>
      </w:r>
      <w:r w:rsidRPr="00634D19">
        <w:rPr>
          <w:rFonts w:ascii="Palatino Linotype" w:eastAsia="Times New Roman" w:hAnsi="Palatino Linotype"/>
          <w:sz w:val="22"/>
          <w:szCs w:val="22"/>
          <w:lang w:val="en-US"/>
        </w:rPr>
        <w:t xml:space="preserve"> by USD </w:t>
      </w:r>
      <w:r>
        <w:rPr>
          <w:rFonts w:ascii="Palatino Linotype" w:eastAsia="Times New Roman" w:hAnsi="Palatino Linotype"/>
          <w:sz w:val="22"/>
          <w:szCs w:val="22"/>
          <w:lang w:val="en-US"/>
        </w:rPr>
        <w:t>2.3</w:t>
      </w:r>
      <w:r w:rsidRPr="00634D19">
        <w:rPr>
          <w:rFonts w:ascii="Palatino Linotype" w:eastAsia="Times New Roman" w:hAnsi="Palatino Linotype"/>
          <w:sz w:val="22"/>
          <w:szCs w:val="22"/>
          <w:lang w:val="en-US"/>
        </w:rPr>
        <w:t xml:space="preserve"> per barrel (or by </w:t>
      </w:r>
      <w:r>
        <w:rPr>
          <w:rFonts w:ascii="Palatino Linotype" w:eastAsia="Times New Roman" w:hAnsi="Palatino Linotype"/>
          <w:sz w:val="22"/>
          <w:szCs w:val="22"/>
          <w:lang w:val="en-US"/>
        </w:rPr>
        <w:t>3.8</w:t>
      </w:r>
      <w:r w:rsidRPr="00634D19">
        <w:rPr>
          <w:rFonts w:ascii="Palatino Linotype" w:eastAsia="Times New Roman" w:hAnsi="Palatino Linotype"/>
          <w:sz w:val="22"/>
          <w:szCs w:val="22"/>
          <w:lang w:val="en-US"/>
        </w:rPr>
        <w:t xml:space="preserve"> per cent) to USD </w:t>
      </w:r>
      <w:r>
        <w:rPr>
          <w:rFonts w:ascii="Palatino Linotype" w:eastAsia="Times New Roman" w:hAnsi="Palatino Linotype"/>
          <w:sz w:val="22"/>
          <w:szCs w:val="22"/>
          <w:lang w:val="en-US"/>
        </w:rPr>
        <w:t>59.2</w:t>
      </w:r>
      <w:r w:rsidRPr="00634D19">
        <w:rPr>
          <w:rFonts w:ascii="Palatino Linotype" w:eastAsia="Times New Roman" w:hAnsi="Palatino Linotype"/>
          <w:sz w:val="22"/>
          <w:szCs w:val="22"/>
          <w:lang w:val="en-US"/>
        </w:rPr>
        <w:t xml:space="preserve"> per barrel in </w:t>
      </w:r>
      <w:r>
        <w:rPr>
          <w:rFonts w:ascii="Palatino Linotype" w:eastAsia="Times New Roman" w:hAnsi="Palatino Linotype"/>
          <w:sz w:val="22"/>
          <w:szCs w:val="22"/>
          <w:lang w:val="en-US"/>
        </w:rPr>
        <w:t>March</w:t>
      </w:r>
      <w:r w:rsidRPr="00634D19">
        <w:rPr>
          <w:rFonts w:ascii="Palatino Linotype" w:eastAsia="Times New Roman" w:hAnsi="Palatino Linotype"/>
          <w:sz w:val="22"/>
          <w:szCs w:val="22"/>
          <w:lang w:val="en-US"/>
        </w:rPr>
        <w:t xml:space="preserve"> 2021. Gold prices decreased by </w:t>
      </w:r>
      <w:r>
        <w:rPr>
          <w:rFonts w:ascii="Palatino Linotype" w:eastAsia="Times New Roman" w:hAnsi="Palatino Linotype"/>
          <w:sz w:val="22"/>
          <w:szCs w:val="22"/>
          <w:lang w:val="en-US"/>
        </w:rPr>
        <w:t>1.5</w:t>
      </w:r>
      <w:r w:rsidRPr="00634D19">
        <w:rPr>
          <w:rFonts w:ascii="Palatino Linotype" w:eastAsia="Times New Roman" w:hAnsi="Palatino Linotype"/>
          <w:sz w:val="22"/>
          <w:szCs w:val="22"/>
          <w:lang w:val="en-US"/>
        </w:rPr>
        <w:t xml:space="preserve"> per cent to USD</w:t>
      </w:r>
      <w:r w:rsidRPr="0031118D">
        <w:rPr>
          <w:rFonts w:ascii="Palatino Linotype" w:eastAsia="Times New Roman" w:hAnsi="Palatino Linotype"/>
          <w:sz w:val="22"/>
          <w:szCs w:val="22"/>
          <w:lang w:val="en-US"/>
        </w:rPr>
        <w:t xml:space="preserve"> 1,707.0</w:t>
      </w:r>
      <w:r>
        <w:rPr>
          <w:rFonts w:ascii="Palatino Linotype" w:eastAsia="Times New Roman" w:hAnsi="Palatino Linotype"/>
          <w:sz w:val="22"/>
          <w:szCs w:val="22"/>
          <w:lang w:val="en-US"/>
        </w:rPr>
        <w:t xml:space="preserve"> at the end of March</w:t>
      </w:r>
      <w:r w:rsidRPr="00634D19">
        <w:rPr>
          <w:rFonts w:ascii="Palatino Linotype" w:eastAsia="Times New Roman" w:hAnsi="Palatino Linotype"/>
          <w:sz w:val="22"/>
          <w:szCs w:val="22"/>
          <w:lang w:val="en-US"/>
        </w:rPr>
        <w:t xml:space="preserve"> 2021 from USD</w:t>
      </w:r>
      <w:r w:rsidRPr="00085084">
        <w:rPr>
          <w:rFonts w:ascii="Palatino Linotype" w:eastAsia="Times New Roman" w:hAnsi="Palatino Linotype"/>
          <w:sz w:val="22"/>
          <w:szCs w:val="22"/>
          <w:lang w:val="en-US"/>
        </w:rPr>
        <w:t xml:space="preserve"> 1,733.5</w:t>
      </w:r>
      <w:r w:rsidRPr="00634D19">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at the end of February 2021</w:t>
      </w:r>
      <w:r w:rsidRPr="00634D19">
        <w:rPr>
          <w:rFonts w:ascii="Palatino Linotype" w:eastAsia="Times New Roman" w:hAnsi="Palatino Linotype"/>
          <w:sz w:val="22"/>
          <w:szCs w:val="22"/>
          <w:lang w:val="en-US"/>
        </w:rPr>
        <w:t>. </w:t>
      </w:r>
    </w:p>
    <w:p w:rsidR="00A12A17" w:rsidRPr="00DA729E"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284E73"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DA729E">
        <w:rPr>
          <w:rFonts w:ascii="Palatino Linotype" w:eastAsia="Times New Roman" w:hAnsi="Palatino Linotype"/>
          <w:sz w:val="22"/>
          <w:szCs w:val="22"/>
          <w:lang w:val="en-US"/>
        </w:rPr>
        <w:t xml:space="preserve">As per the latest estimate, the US economy expanded by </w:t>
      </w:r>
      <w:r>
        <w:rPr>
          <w:rFonts w:ascii="Palatino Linotype" w:eastAsia="Times New Roman" w:hAnsi="Palatino Linotype"/>
          <w:sz w:val="22"/>
          <w:szCs w:val="22"/>
          <w:lang w:val="en-US"/>
        </w:rPr>
        <w:t>6.4</w:t>
      </w:r>
      <w:r w:rsidRPr="00DA729E">
        <w:rPr>
          <w:rFonts w:ascii="Palatino Linotype" w:eastAsia="Times New Roman" w:hAnsi="Palatino Linotype"/>
          <w:sz w:val="22"/>
          <w:szCs w:val="22"/>
          <w:lang w:val="en-US"/>
        </w:rPr>
        <w:t xml:space="preserve"> per cent Q-o-Q in annualised terms in the Q</w:t>
      </w:r>
      <w:r>
        <w:rPr>
          <w:rFonts w:ascii="Palatino Linotype" w:eastAsia="Times New Roman" w:hAnsi="Palatino Linotype"/>
          <w:sz w:val="22"/>
          <w:szCs w:val="22"/>
          <w:lang w:val="en-US"/>
        </w:rPr>
        <w:t>1</w:t>
      </w:r>
      <w:r w:rsidRPr="00DA729E">
        <w:rPr>
          <w:rFonts w:ascii="Palatino Linotype" w:eastAsia="Times New Roman" w:hAnsi="Palatino Linotype"/>
          <w:sz w:val="22"/>
          <w:szCs w:val="22"/>
          <w:lang w:val="en-US"/>
        </w:rPr>
        <w:t xml:space="preserve"> of 202</w:t>
      </w:r>
      <w:r>
        <w:rPr>
          <w:rFonts w:ascii="Palatino Linotype" w:eastAsia="Times New Roman" w:hAnsi="Palatino Linotype"/>
          <w:sz w:val="22"/>
          <w:szCs w:val="22"/>
          <w:lang w:val="en-US"/>
        </w:rPr>
        <w:t>1</w:t>
      </w:r>
      <w:r w:rsidRPr="00DA729E">
        <w:rPr>
          <w:rFonts w:ascii="Palatino Linotype" w:eastAsia="Times New Roman" w:hAnsi="Palatino Linotype"/>
          <w:sz w:val="22"/>
          <w:szCs w:val="22"/>
          <w:lang w:val="en-US"/>
        </w:rPr>
        <w:t xml:space="preserve">, compared to </w:t>
      </w:r>
      <w:r>
        <w:rPr>
          <w:rFonts w:ascii="Palatino Linotype" w:eastAsia="Times New Roman" w:hAnsi="Palatino Linotype"/>
          <w:sz w:val="22"/>
          <w:szCs w:val="22"/>
          <w:lang w:val="en-US"/>
        </w:rPr>
        <w:t>4.3</w:t>
      </w:r>
      <w:r w:rsidRPr="00DA729E">
        <w:rPr>
          <w:rFonts w:ascii="Palatino Linotype" w:eastAsia="Times New Roman" w:hAnsi="Palatino Linotype"/>
          <w:sz w:val="22"/>
          <w:szCs w:val="22"/>
          <w:lang w:val="en-US"/>
        </w:rPr>
        <w:t xml:space="preserve"> per cent increase during the previous quarter. The US unemployment rate </w:t>
      </w:r>
      <w:r>
        <w:rPr>
          <w:rFonts w:ascii="Palatino Linotype" w:eastAsia="Times New Roman" w:hAnsi="Palatino Linotype"/>
          <w:sz w:val="22"/>
          <w:szCs w:val="22"/>
          <w:lang w:val="en-US"/>
        </w:rPr>
        <w:t>decreased to</w:t>
      </w:r>
      <w:r w:rsidRPr="00DA729E">
        <w:rPr>
          <w:rFonts w:ascii="Palatino Linotype" w:eastAsia="Times New Roman" w:hAnsi="Palatino Linotype"/>
          <w:sz w:val="22"/>
          <w:szCs w:val="22"/>
          <w:lang w:val="en-US"/>
        </w:rPr>
        <w:t xml:space="preserve"> 6.</w:t>
      </w:r>
      <w:r>
        <w:rPr>
          <w:rFonts w:ascii="Palatino Linotype" w:eastAsia="Times New Roman" w:hAnsi="Palatino Linotype"/>
          <w:sz w:val="22"/>
          <w:szCs w:val="22"/>
          <w:lang w:val="en-US"/>
        </w:rPr>
        <w:t>0</w:t>
      </w:r>
      <w:r w:rsidRPr="00DA729E">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March</w:t>
      </w:r>
      <w:r w:rsidRPr="00DA729E">
        <w:rPr>
          <w:rFonts w:ascii="Palatino Linotype" w:eastAsia="Times New Roman" w:hAnsi="Palatino Linotype"/>
          <w:sz w:val="22"/>
          <w:szCs w:val="22"/>
          <w:lang w:val="en-US"/>
        </w:rPr>
        <w:t xml:space="preserve"> 2021 from 6.</w:t>
      </w:r>
      <w:r>
        <w:rPr>
          <w:rFonts w:ascii="Palatino Linotype" w:eastAsia="Times New Roman" w:hAnsi="Palatino Linotype"/>
          <w:sz w:val="22"/>
          <w:szCs w:val="22"/>
          <w:lang w:val="en-US"/>
        </w:rPr>
        <w:t>2</w:t>
      </w:r>
      <w:r w:rsidRPr="00DA729E">
        <w:rPr>
          <w:rFonts w:ascii="Palatino Linotype" w:eastAsia="Times New Roman" w:hAnsi="Palatino Linotype"/>
          <w:sz w:val="22"/>
          <w:szCs w:val="22"/>
          <w:lang w:val="en-US"/>
        </w:rPr>
        <w:t xml:space="preserve"> per cent in the previous month. The US </w:t>
      </w:r>
      <w:r>
        <w:rPr>
          <w:rFonts w:ascii="Palatino Linotype" w:eastAsia="Times New Roman" w:hAnsi="Palatino Linotype"/>
          <w:sz w:val="22"/>
          <w:szCs w:val="22"/>
          <w:lang w:val="en-US"/>
        </w:rPr>
        <w:t xml:space="preserve">Composite </w:t>
      </w:r>
      <w:r w:rsidRPr="00DA729E">
        <w:rPr>
          <w:rFonts w:ascii="Palatino Linotype" w:eastAsia="Times New Roman" w:hAnsi="Palatino Linotype"/>
          <w:sz w:val="22"/>
          <w:szCs w:val="22"/>
          <w:lang w:val="en-US"/>
        </w:rPr>
        <w:t>PMI data also indicate rising economic activity</w:t>
      </w:r>
      <w:r>
        <w:rPr>
          <w:rFonts w:ascii="Palatino Linotype" w:eastAsia="Times New Roman" w:hAnsi="Palatino Linotype"/>
          <w:sz w:val="22"/>
          <w:szCs w:val="22"/>
          <w:lang w:val="en-US"/>
        </w:rPr>
        <w:t xml:space="preserve"> at 59.7 (in March 2021) from 59.1 a month earlier</w:t>
      </w:r>
      <w:r w:rsidRPr="00DA729E">
        <w:rPr>
          <w:rFonts w:ascii="Palatino Linotype" w:eastAsia="Times New Roman" w:hAnsi="Palatino Linotype"/>
          <w:sz w:val="22"/>
          <w:szCs w:val="22"/>
          <w:lang w:val="en-US"/>
        </w:rPr>
        <w:t>.</w:t>
      </w:r>
      <w:r w:rsidRPr="00284E73">
        <w:rPr>
          <w:rFonts w:ascii="Palatino Linotype" w:eastAsia="Times New Roman" w:hAnsi="Palatino Linotype"/>
          <w:sz w:val="22"/>
          <w:szCs w:val="22"/>
          <w:lang w:val="en-US"/>
        </w:rPr>
        <w:t xml:space="preserve"> The IHS Market’s US </w:t>
      </w:r>
      <w:r>
        <w:rPr>
          <w:rFonts w:ascii="Palatino Linotype" w:eastAsia="Times New Roman" w:hAnsi="Palatino Linotype"/>
          <w:sz w:val="22"/>
          <w:szCs w:val="22"/>
          <w:lang w:val="en-US"/>
        </w:rPr>
        <w:t>Manufacturing</w:t>
      </w:r>
      <w:r w:rsidRPr="00284E73">
        <w:rPr>
          <w:rFonts w:ascii="Palatino Linotype" w:eastAsia="Times New Roman" w:hAnsi="Palatino Linotype"/>
          <w:sz w:val="22"/>
          <w:szCs w:val="22"/>
          <w:lang w:val="en-US"/>
        </w:rPr>
        <w:t xml:space="preserve"> PMI </w:t>
      </w:r>
      <w:r>
        <w:rPr>
          <w:rFonts w:ascii="Palatino Linotype" w:eastAsia="Times New Roman" w:hAnsi="Palatino Linotype"/>
          <w:sz w:val="22"/>
          <w:szCs w:val="22"/>
          <w:lang w:val="en-US"/>
        </w:rPr>
        <w:t>increased</w:t>
      </w:r>
      <w:r w:rsidRPr="00284E73">
        <w:rPr>
          <w:rFonts w:ascii="Palatino Linotype" w:eastAsia="Times New Roman" w:hAnsi="Palatino Linotype"/>
          <w:sz w:val="22"/>
          <w:szCs w:val="22"/>
          <w:lang w:val="en-US"/>
        </w:rPr>
        <w:t xml:space="preserve"> to </w:t>
      </w:r>
      <w:r>
        <w:rPr>
          <w:rFonts w:ascii="Palatino Linotype" w:eastAsia="Times New Roman" w:hAnsi="Palatino Linotype"/>
          <w:sz w:val="22"/>
          <w:szCs w:val="22"/>
          <w:lang w:val="en-US"/>
        </w:rPr>
        <w:t xml:space="preserve">59.1 </w:t>
      </w:r>
      <w:r w:rsidRPr="00284E73">
        <w:rPr>
          <w:rFonts w:ascii="Palatino Linotype" w:eastAsia="Times New Roman" w:hAnsi="Palatino Linotype"/>
          <w:sz w:val="22"/>
          <w:szCs w:val="22"/>
          <w:lang w:val="en-US"/>
        </w:rPr>
        <w:t xml:space="preserve">in </w:t>
      </w:r>
      <w:r>
        <w:rPr>
          <w:rFonts w:ascii="Palatino Linotype" w:eastAsia="Times New Roman" w:hAnsi="Palatino Linotype"/>
          <w:sz w:val="22"/>
          <w:szCs w:val="22"/>
          <w:lang w:val="en-US"/>
        </w:rPr>
        <w:t>March</w:t>
      </w:r>
      <w:r w:rsidRPr="00284E73">
        <w:rPr>
          <w:rFonts w:ascii="Palatino Linotype" w:eastAsia="Times New Roman" w:hAnsi="Palatino Linotype"/>
          <w:sz w:val="22"/>
          <w:szCs w:val="22"/>
          <w:lang w:val="en-US"/>
        </w:rPr>
        <w:t xml:space="preserve"> 2021 from</w:t>
      </w:r>
      <w:r>
        <w:rPr>
          <w:rFonts w:ascii="Palatino Linotype" w:eastAsia="Times New Roman" w:hAnsi="Palatino Linotype"/>
          <w:sz w:val="22"/>
          <w:szCs w:val="22"/>
          <w:lang w:val="en-US"/>
        </w:rPr>
        <w:t xml:space="preserve"> 58.6</w:t>
      </w:r>
      <w:r w:rsidRPr="00284E73">
        <w:rPr>
          <w:rFonts w:ascii="Palatino Linotype" w:eastAsia="Times New Roman" w:hAnsi="Palatino Linotype"/>
          <w:sz w:val="22"/>
          <w:szCs w:val="22"/>
          <w:lang w:val="en-US"/>
        </w:rPr>
        <w:t xml:space="preserve"> in</w:t>
      </w:r>
      <w:r>
        <w:rPr>
          <w:rFonts w:ascii="Palatino Linotype" w:eastAsia="Times New Roman" w:hAnsi="Palatino Linotype"/>
          <w:sz w:val="22"/>
          <w:szCs w:val="22"/>
          <w:lang w:val="en-US"/>
        </w:rPr>
        <w:t xml:space="preserve"> previous month</w:t>
      </w:r>
      <w:r w:rsidRPr="00284E73">
        <w:rPr>
          <w:rFonts w:ascii="Palatino Linotype" w:eastAsia="Times New Roman" w:hAnsi="Palatino Linotype"/>
          <w:sz w:val="22"/>
          <w:szCs w:val="22"/>
          <w:lang w:val="en-US"/>
        </w:rPr>
        <w:t>.</w:t>
      </w:r>
    </w:p>
    <w:p w:rsidR="00A12A17" w:rsidRPr="00284E73" w:rsidRDefault="00A12A17" w:rsidP="00A12A17">
      <w:pPr>
        <w:spacing w:after="200" w:line="276" w:lineRule="auto"/>
        <w:ind w:left="720" w:right="107"/>
        <w:contextualSpacing/>
        <w:rPr>
          <w:rFonts w:ascii="Palatino Linotype" w:eastAsia="Times New Roman" w:hAnsi="Palatino Linotype"/>
          <w:sz w:val="22"/>
          <w:szCs w:val="22"/>
          <w:lang w:val="en-US"/>
        </w:rPr>
      </w:pPr>
    </w:p>
    <w:p w:rsidR="00A12A17" w:rsidRPr="00FA155B"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FA155B">
        <w:rPr>
          <w:rFonts w:ascii="Palatino Linotype" w:eastAsia="Times New Roman" w:hAnsi="Palatino Linotype"/>
          <w:sz w:val="22"/>
          <w:szCs w:val="22"/>
          <w:lang w:val="en-US"/>
        </w:rPr>
        <w:t xml:space="preserve">The UK economy grew by 1.0 per cent Q-o-Q in Q4 of 2020, against 16.1 per cent expansion of the previous quarter. The IHS Markit UK composite PMI observed at in </w:t>
      </w:r>
      <w:r>
        <w:rPr>
          <w:rFonts w:ascii="Palatino Linotype" w:eastAsia="Times New Roman" w:hAnsi="Palatino Linotype"/>
          <w:sz w:val="22"/>
          <w:szCs w:val="22"/>
          <w:lang w:val="en-US"/>
        </w:rPr>
        <w:t>56.4 March</w:t>
      </w:r>
      <w:r w:rsidRPr="00FA155B">
        <w:rPr>
          <w:rFonts w:ascii="Palatino Linotype" w:eastAsia="Times New Roman" w:hAnsi="Palatino Linotype"/>
          <w:sz w:val="22"/>
          <w:szCs w:val="22"/>
          <w:lang w:val="en-US"/>
        </w:rPr>
        <w:t xml:space="preserve"> 2021 from </w:t>
      </w:r>
      <w:r>
        <w:rPr>
          <w:rFonts w:ascii="Palatino Linotype" w:eastAsia="Times New Roman" w:hAnsi="Palatino Linotype"/>
          <w:sz w:val="22"/>
          <w:szCs w:val="22"/>
          <w:lang w:val="en-US"/>
        </w:rPr>
        <w:t>49.8</w:t>
      </w:r>
      <w:r w:rsidRPr="00FA155B">
        <w:rPr>
          <w:rFonts w:ascii="Palatino Linotype" w:eastAsia="Times New Roman" w:hAnsi="Palatino Linotype"/>
          <w:sz w:val="22"/>
          <w:szCs w:val="22"/>
          <w:lang w:val="en-US"/>
        </w:rPr>
        <w:t xml:space="preserve"> in previous month. </w:t>
      </w:r>
    </w:p>
    <w:p w:rsidR="00A12A17" w:rsidRPr="00EA4DF8"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3373BC">
        <w:rPr>
          <w:rFonts w:ascii="Palatino Linotype" w:eastAsia="Times New Roman" w:hAnsi="Palatino Linotype"/>
          <w:sz w:val="22"/>
          <w:szCs w:val="22"/>
          <w:lang w:val="en-US"/>
        </w:rPr>
        <w:t>According to the data published by Eurostat, the Eurozone economy shrank by 0.6 per cent Q-o-Q in Q1 of 2021, after shrinking by 0.7 per cent in previous quarter. Among the largest economies</w:t>
      </w:r>
      <w:r>
        <w:rPr>
          <w:rFonts w:ascii="Palatino Linotype" w:eastAsia="Times New Roman" w:hAnsi="Palatino Linotype"/>
          <w:sz w:val="22"/>
          <w:szCs w:val="22"/>
          <w:lang w:val="en-US"/>
        </w:rPr>
        <w:t xml:space="preserve"> </w:t>
      </w:r>
      <w:r w:rsidRPr="003373BC">
        <w:rPr>
          <w:rFonts w:ascii="Palatino Linotype" w:eastAsia="Times New Roman" w:hAnsi="Palatino Linotype"/>
          <w:sz w:val="22"/>
          <w:szCs w:val="22"/>
          <w:lang w:val="en-US"/>
        </w:rPr>
        <w:t>of Eurozone</w:t>
      </w:r>
      <w:r>
        <w:rPr>
          <w:rFonts w:ascii="Palatino Linotype" w:eastAsia="Times New Roman" w:hAnsi="Palatino Linotype"/>
          <w:sz w:val="22"/>
          <w:szCs w:val="22"/>
          <w:lang w:val="en-US"/>
        </w:rPr>
        <w:t xml:space="preserve">) </w:t>
      </w:r>
      <w:r w:rsidRPr="003373BC">
        <w:rPr>
          <w:rFonts w:ascii="Palatino Linotype" w:eastAsia="Times New Roman" w:hAnsi="Palatino Linotype"/>
          <w:sz w:val="22"/>
          <w:szCs w:val="22"/>
          <w:lang w:val="en-US"/>
        </w:rPr>
        <w:t>a contraction was observed</w:t>
      </w:r>
      <w:r>
        <w:rPr>
          <w:rFonts w:ascii="Palatino Linotype" w:eastAsia="Times New Roman" w:hAnsi="Palatino Linotype"/>
          <w:sz w:val="22"/>
          <w:szCs w:val="22"/>
          <w:lang w:val="en-US"/>
        </w:rPr>
        <w:t xml:space="preserve"> viz.</w:t>
      </w:r>
      <w:r w:rsidRPr="003373BC">
        <w:rPr>
          <w:rFonts w:ascii="Palatino Linotype" w:eastAsia="Times New Roman" w:hAnsi="Palatino Linotype"/>
          <w:sz w:val="22"/>
          <w:szCs w:val="22"/>
          <w:lang w:val="en-US"/>
        </w:rPr>
        <w:t xml:space="preserve"> Germany</w:t>
      </w:r>
      <w:r>
        <w:rPr>
          <w:rFonts w:ascii="Palatino Linotype" w:eastAsia="Times New Roman" w:hAnsi="Palatino Linotype"/>
          <w:sz w:val="22"/>
          <w:szCs w:val="22"/>
          <w:lang w:val="en-US"/>
        </w:rPr>
        <w:t xml:space="preserve"> (-1.7 per cent)</w:t>
      </w:r>
      <w:r w:rsidRPr="003373BC">
        <w:rPr>
          <w:rFonts w:ascii="Palatino Linotype" w:eastAsia="Times New Roman" w:hAnsi="Palatino Linotype"/>
          <w:sz w:val="22"/>
          <w:szCs w:val="22"/>
          <w:lang w:val="en-US"/>
        </w:rPr>
        <w:t xml:space="preserve">, Italy </w:t>
      </w:r>
      <w:r>
        <w:rPr>
          <w:rFonts w:ascii="Palatino Linotype" w:eastAsia="Times New Roman" w:hAnsi="Palatino Linotype"/>
          <w:sz w:val="22"/>
          <w:szCs w:val="22"/>
          <w:lang w:val="en-US"/>
        </w:rPr>
        <w:t xml:space="preserve">(-0.4 per cent) </w:t>
      </w:r>
      <w:r w:rsidRPr="003373BC">
        <w:rPr>
          <w:rFonts w:ascii="Palatino Linotype" w:eastAsia="Times New Roman" w:hAnsi="Palatino Linotype"/>
          <w:sz w:val="22"/>
          <w:szCs w:val="22"/>
          <w:lang w:val="en-US"/>
        </w:rPr>
        <w:t xml:space="preserve">and Spain </w:t>
      </w:r>
      <w:r>
        <w:rPr>
          <w:rFonts w:ascii="Palatino Linotype" w:eastAsia="Times New Roman" w:hAnsi="Palatino Linotype"/>
          <w:sz w:val="22"/>
          <w:szCs w:val="22"/>
          <w:lang w:val="en-US"/>
        </w:rPr>
        <w:t>(-0.5 per cent)</w:t>
      </w:r>
      <w:r w:rsidRPr="003373BC">
        <w:rPr>
          <w:rFonts w:ascii="Palatino Linotype" w:eastAsia="Times New Roman" w:hAnsi="Palatino Linotype"/>
          <w:sz w:val="22"/>
          <w:szCs w:val="22"/>
          <w:lang w:val="en-US"/>
        </w:rPr>
        <w:t xml:space="preserve">. The economy of France </w:t>
      </w:r>
      <w:r>
        <w:rPr>
          <w:rFonts w:ascii="Palatino Linotype" w:eastAsia="Times New Roman" w:hAnsi="Palatino Linotype"/>
          <w:sz w:val="22"/>
          <w:szCs w:val="22"/>
          <w:lang w:val="en-US"/>
        </w:rPr>
        <w:t xml:space="preserve">(0.4 per cent) </w:t>
      </w:r>
      <w:r w:rsidRPr="003373BC">
        <w:rPr>
          <w:rFonts w:ascii="Palatino Linotype" w:eastAsia="Times New Roman" w:hAnsi="Palatino Linotype"/>
          <w:sz w:val="22"/>
          <w:szCs w:val="22"/>
          <w:lang w:val="en-US"/>
        </w:rPr>
        <w:t>returned to growth</w:t>
      </w:r>
      <w:r>
        <w:rPr>
          <w:rFonts w:ascii="Palatino Linotype" w:eastAsia="Times New Roman" w:hAnsi="Palatino Linotype"/>
          <w:sz w:val="22"/>
          <w:szCs w:val="22"/>
          <w:lang w:val="en-US"/>
        </w:rPr>
        <w:t>.</w:t>
      </w:r>
    </w:p>
    <w:p w:rsidR="00A12A17"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E35F60"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0D45CD">
        <w:rPr>
          <w:rFonts w:ascii="Palatino Linotype" w:eastAsia="Times New Roman" w:hAnsi="Palatino Linotype"/>
          <w:sz w:val="22"/>
          <w:szCs w:val="22"/>
          <w:lang w:val="en-US"/>
        </w:rPr>
        <w:t xml:space="preserve">GDP growth of China </w:t>
      </w:r>
      <w:r>
        <w:rPr>
          <w:rFonts w:ascii="Palatino Linotype" w:eastAsia="Times New Roman" w:hAnsi="Palatino Linotype"/>
          <w:sz w:val="22"/>
          <w:szCs w:val="22"/>
          <w:lang w:val="en-US"/>
        </w:rPr>
        <w:t>was</w:t>
      </w:r>
      <w:r w:rsidRPr="000D45CD">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0.6</w:t>
      </w:r>
      <w:r w:rsidRPr="000D45CD">
        <w:rPr>
          <w:rFonts w:ascii="Palatino Linotype" w:eastAsia="Times New Roman" w:hAnsi="Palatino Linotype"/>
          <w:sz w:val="22"/>
          <w:szCs w:val="22"/>
          <w:lang w:val="en-US"/>
        </w:rPr>
        <w:t xml:space="preserve"> per cent in Q</w:t>
      </w:r>
      <w:r>
        <w:rPr>
          <w:rFonts w:ascii="Palatino Linotype" w:eastAsia="Times New Roman" w:hAnsi="Palatino Linotype"/>
          <w:sz w:val="22"/>
          <w:szCs w:val="22"/>
          <w:lang w:val="en-US"/>
        </w:rPr>
        <w:t>1</w:t>
      </w:r>
      <w:r w:rsidRPr="000D45CD">
        <w:rPr>
          <w:rFonts w:ascii="Palatino Linotype" w:eastAsia="Times New Roman" w:hAnsi="Palatino Linotype"/>
          <w:sz w:val="22"/>
          <w:szCs w:val="22"/>
          <w:lang w:val="en-US"/>
        </w:rPr>
        <w:t xml:space="preserve"> of 202</w:t>
      </w:r>
      <w:r>
        <w:rPr>
          <w:rFonts w:ascii="Palatino Linotype" w:eastAsia="Times New Roman" w:hAnsi="Palatino Linotype"/>
          <w:sz w:val="22"/>
          <w:szCs w:val="22"/>
          <w:lang w:val="en-US"/>
        </w:rPr>
        <w:t>1</w:t>
      </w:r>
      <w:r w:rsidRPr="000D45CD">
        <w:rPr>
          <w:rFonts w:ascii="Palatino Linotype" w:eastAsia="Times New Roman" w:hAnsi="Palatino Linotype"/>
          <w:sz w:val="22"/>
          <w:szCs w:val="22"/>
          <w:lang w:val="en-US"/>
        </w:rPr>
        <w:t>,</w:t>
      </w:r>
      <w:r>
        <w:rPr>
          <w:rFonts w:ascii="Palatino Linotype" w:eastAsia="Times New Roman" w:hAnsi="Palatino Linotype"/>
          <w:sz w:val="22"/>
          <w:szCs w:val="22"/>
          <w:lang w:val="en-US"/>
        </w:rPr>
        <w:t xml:space="preserve"> however, it was less than the growth in the previous quarter.</w:t>
      </w:r>
      <w:r w:rsidRPr="000D45CD">
        <w:rPr>
          <w:rFonts w:ascii="Palatino Linotype" w:eastAsia="Times New Roman" w:hAnsi="Palatino Linotype"/>
          <w:sz w:val="22"/>
          <w:szCs w:val="22"/>
          <w:lang w:val="en-US"/>
        </w:rPr>
        <w:t xml:space="preserve"> </w:t>
      </w:r>
      <w:r>
        <w:rPr>
          <w:rFonts w:ascii="Palatino Linotype" w:eastAsia="Times New Roman" w:hAnsi="Palatino Linotype"/>
          <w:sz w:val="22"/>
          <w:szCs w:val="22"/>
          <w:lang w:val="en-US"/>
        </w:rPr>
        <w:t>G</w:t>
      </w:r>
      <w:r w:rsidRPr="000D45CD">
        <w:rPr>
          <w:rFonts w:ascii="Palatino Linotype" w:eastAsia="Times New Roman" w:hAnsi="Palatino Linotype"/>
          <w:sz w:val="22"/>
          <w:szCs w:val="22"/>
          <w:lang w:val="en-US"/>
        </w:rPr>
        <w:t xml:space="preserve">rowth rate </w:t>
      </w:r>
      <w:r>
        <w:rPr>
          <w:rFonts w:ascii="Palatino Linotype" w:eastAsia="Times New Roman" w:hAnsi="Palatino Linotype"/>
          <w:sz w:val="22"/>
          <w:szCs w:val="22"/>
          <w:lang w:val="en-US"/>
        </w:rPr>
        <w:t xml:space="preserve">in GDP was </w:t>
      </w:r>
      <w:r w:rsidRPr="000D45CD">
        <w:rPr>
          <w:rFonts w:ascii="Palatino Linotype" w:eastAsia="Times New Roman" w:hAnsi="Palatino Linotype"/>
          <w:sz w:val="22"/>
          <w:szCs w:val="22"/>
          <w:lang w:val="en-US"/>
        </w:rPr>
        <w:t>of 3.</w:t>
      </w:r>
      <w:r>
        <w:rPr>
          <w:rFonts w:ascii="Palatino Linotype" w:eastAsia="Times New Roman" w:hAnsi="Palatino Linotype"/>
          <w:sz w:val="22"/>
          <w:szCs w:val="22"/>
          <w:lang w:val="en-US"/>
        </w:rPr>
        <w:t>2</w:t>
      </w:r>
      <w:r w:rsidRPr="000D45CD">
        <w:rPr>
          <w:rFonts w:ascii="Palatino Linotype" w:eastAsia="Times New Roman" w:hAnsi="Palatino Linotype"/>
          <w:sz w:val="22"/>
          <w:szCs w:val="22"/>
          <w:lang w:val="en-US"/>
        </w:rPr>
        <w:t xml:space="preserve"> per cent in Q</w:t>
      </w:r>
      <w:r>
        <w:rPr>
          <w:rFonts w:ascii="Palatino Linotype" w:eastAsia="Times New Roman" w:hAnsi="Palatino Linotype"/>
          <w:sz w:val="22"/>
          <w:szCs w:val="22"/>
          <w:lang w:val="en-US"/>
        </w:rPr>
        <w:t>4</w:t>
      </w:r>
      <w:r w:rsidRPr="000D45CD">
        <w:rPr>
          <w:rFonts w:ascii="Palatino Linotype" w:eastAsia="Times New Roman" w:hAnsi="Palatino Linotype"/>
          <w:sz w:val="22"/>
          <w:szCs w:val="22"/>
          <w:lang w:val="en-US"/>
        </w:rPr>
        <w:t xml:space="preserve"> of 2020</w:t>
      </w:r>
      <w:r>
        <w:rPr>
          <w:rFonts w:ascii="Palatino Linotype" w:eastAsia="Times New Roman" w:hAnsi="Palatino Linotype"/>
          <w:sz w:val="22"/>
          <w:szCs w:val="22"/>
          <w:lang w:val="en-US"/>
        </w:rPr>
        <w:t xml:space="preserve"> in China</w:t>
      </w:r>
      <w:r w:rsidRPr="000D45CD">
        <w:rPr>
          <w:rFonts w:ascii="Palatino Linotype" w:eastAsia="Times New Roman" w:hAnsi="Palatino Linotype"/>
          <w:sz w:val="22"/>
          <w:szCs w:val="22"/>
          <w:lang w:val="en-US"/>
        </w:rPr>
        <w:t xml:space="preserve">. </w:t>
      </w:r>
      <w:r w:rsidRPr="00E35F60">
        <w:rPr>
          <w:rFonts w:ascii="Palatino Linotype" w:eastAsia="Times New Roman" w:hAnsi="Palatino Linotype"/>
          <w:sz w:val="22"/>
          <w:szCs w:val="22"/>
          <w:lang w:val="en-US"/>
        </w:rPr>
        <w:t xml:space="preserve">According to IMF projections, the Chinese economy is expected to </w:t>
      </w:r>
      <w:r>
        <w:rPr>
          <w:rFonts w:ascii="Palatino Linotype" w:eastAsia="Times New Roman" w:hAnsi="Palatino Linotype"/>
          <w:sz w:val="22"/>
          <w:szCs w:val="22"/>
          <w:lang w:val="en-US"/>
        </w:rPr>
        <w:t>grow at the rate of 8.4</w:t>
      </w:r>
      <w:r w:rsidRPr="00E35F60">
        <w:rPr>
          <w:rFonts w:ascii="Palatino Linotype" w:eastAsia="Times New Roman" w:hAnsi="Palatino Linotype"/>
          <w:sz w:val="22"/>
          <w:szCs w:val="22"/>
          <w:lang w:val="en-US"/>
        </w:rPr>
        <w:t>per cent in 202</w:t>
      </w:r>
      <w:r>
        <w:rPr>
          <w:rFonts w:ascii="Palatino Linotype" w:eastAsia="Times New Roman" w:hAnsi="Palatino Linotype"/>
          <w:sz w:val="22"/>
          <w:szCs w:val="22"/>
          <w:lang w:val="en-US"/>
        </w:rPr>
        <w:t>1 and will have a growth rate of 5.6 per cent in 2022.</w:t>
      </w:r>
      <w:r w:rsidRPr="00E35F60">
        <w:rPr>
          <w:rFonts w:ascii="Palatino Linotype" w:eastAsia="Times New Roman" w:hAnsi="Palatino Linotype"/>
          <w:sz w:val="22"/>
          <w:szCs w:val="22"/>
          <w:lang w:val="en-US"/>
        </w:rPr>
        <w:t xml:space="preserve">  </w:t>
      </w:r>
    </w:p>
    <w:p w:rsidR="00A12A17" w:rsidRPr="000D45CD"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0D45CD"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Pr>
          <w:rFonts w:ascii="Palatino Linotype" w:eastAsia="Times New Roman" w:hAnsi="Palatino Linotype"/>
          <w:sz w:val="22"/>
          <w:szCs w:val="22"/>
          <w:lang w:val="en-US"/>
        </w:rPr>
        <w:t>As per</w:t>
      </w:r>
      <w:r w:rsidRPr="00EE0F9B">
        <w:rPr>
          <w:rFonts w:ascii="Palatino Linotype" w:eastAsia="Times New Roman" w:hAnsi="Palatino Linotype"/>
          <w:sz w:val="22"/>
          <w:szCs w:val="22"/>
          <w:lang w:val="en-US"/>
        </w:rPr>
        <w:t xml:space="preserve"> </w:t>
      </w:r>
      <w:r w:rsidRPr="00E26AAF">
        <w:rPr>
          <w:rFonts w:ascii="Palatino Linotype" w:eastAsia="Times New Roman" w:hAnsi="Palatino Linotype"/>
          <w:sz w:val="22"/>
          <w:szCs w:val="22"/>
          <w:lang w:val="en-US"/>
        </w:rPr>
        <w:t>MOSPI</w:t>
      </w:r>
      <w:r>
        <w:rPr>
          <w:rFonts w:ascii="Palatino Linotype" w:eastAsia="Times New Roman" w:hAnsi="Palatino Linotype"/>
          <w:sz w:val="22"/>
          <w:szCs w:val="22"/>
          <w:lang w:val="en-US"/>
        </w:rPr>
        <w:t xml:space="preserve">, </w:t>
      </w:r>
      <w:r w:rsidRPr="000D45CD">
        <w:rPr>
          <w:rFonts w:ascii="Palatino Linotype" w:eastAsia="Times New Roman" w:hAnsi="Palatino Linotype"/>
          <w:sz w:val="22"/>
          <w:szCs w:val="22"/>
          <w:lang w:val="en-US"/>
        </w:rPr>
        <w:t xml:space="preserve">India’s GDP </w:t>
      </w:r>
      <w:r>
        <w:rPr>
          <w:rFonts w:ascii="Palatino Linotype" w:eastAsia="Times New Roman" w:hAnsi="Palatino Linotype"/>
          <w:sz w:val="22"/>
          <w:szCs w:val="22"/>
          <w:lang w:val="en-US"/>
        </w:rPr>
        <w:t>grew</w:t>
      </w:r>
      <w:r w:rsidRPr="000D45CD">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0.4</w:t>
      </w:r>
      <w:r w:rsidRPr="000D45CD">
        <w:rPr>
          <w:rFonts w:ascii="Palatino Linotype" w:eastAsia="Times New Roman" w:hAnsi="Palatino Linotype"/>
          <w:sz w:val="22"/>
          <w:szCs w:val="22"/>
          <w:lang w:val="en-US"/>
        </w:rPr>
        <w:t xml:space="preserve"> per cent Y-o-Y </w:t>
      </w:r>
      <w:r w:rsidRPr="00E50FD2">
        <w:rPr>
          <w:rFonts w:ascii="Palatino Linotype" w:eastAsia="Times New Roman" w:hAnsi="Palatino Linotype"/>
          <w:sz w:val="22"/>
          <w:szCs w:val="22"/>
          <w:lang w:val="en-US"/>
        </w:rPr>
        <w:t xml:space="preserve">during Q3 of 2020-21 compared to a negative Y-o-Y growth rate of 7.3 per cent in Q2 of 2020-21. In Q3 of 2020-21, the business activity in hotels, transport, communication service declined by -7.7 per </w:t>
      </w:r>
      <w:r>
        <w:rPr>
          <w:rFonts w:ascii="Palatino Linotype" w:eastAsia="Times New Roman" w:hAnsi="Palatino Linotype"/>
          <w:sz w:val="22"/>
          <w:szCs w:val="22"/>
          <w:lang w:val="en-US"/>
        </w:rPr>
        <w:t xml:space="preserve">cent, </w:t>
      </w:r>
      <w:r w:rsidRPr="00E50FD2">
        <w:rPr>
          <w:rFonts w:ascii="Palatino Linotype" w:eastAsia="Times New Roman" w:hAnsi="Palatino Linotype"/>
          <w:sz w:val="22"/>
          <w:szCs w:val="22"/>
          <w:lang w:val="en-US"/>
        </w:rPr>
        <w:t>public admi</w:t>
      </w:r>
      <w:r w:rsidRPr="000D45CD">
        <w:rPr>
          <w:rFonts w:ascii="Palatino Linotype" w:eastAsia="Times New Roman" w:hAnsi="Palatino Linotype"/>
          <w:sz w:val="22"/>
          <w:szCs w:val="22"/>
          <w:lang w:val="en-US"/>
        </w:rPr>
        <w:t xml:space="preserve">nistration services </w:t>
      </w:r>
      <w:r>
        <w:rPr>
          <w:rFonts w:ascii="Palatino Linotype" w:eastAsia="Times New Roman" w:hAnsi="Palatino Linotype"/>
          <w:sz w:val="22"/>
          <w:szCs w:val="22"/>
          <w:lang w:val="en-US"/>
        </w:rPr>
        <w:t>declined by -1.5</w:t>
      </w:r>
      <w:r w:rsidRPr="000D45CD">
        <w:rPr>
          <w:rFonts w:ascii="Palatino Linotype" w:eastAsia="Times New Roman" w:hAnsi="Palatino Linotype"/>
          <w:sz w:val="22"/>
          <w:szCs w:val="22"/>
          <w:lang w:val="en-US"/>
        </w:rPr>
        <w:t xml:space="preserve"> per cent</w:t>
      </w:r>
      <w:r>
        <w:rPr>
          <w:rFonts w:ascii="Palatino Linotype" w:eastAsia="Times New Roman" w:hAnsi="Palatino Linotype"/>
          <w:sz w:val="22"/>
          <w:szCs w:val="22"/>
          <w:lang w:val="en-US"/>
        </w:rPr>
        <w:t>, and</w:t>
      </w:r>
      <w:r w:rsidRPr="000D45CD">
        <w:rPr>
          <w:rFonts w:ascii="Palatino Linotype" w:eastAsia="Times New Roman" w:hAnsi="Palatino Linotype"/>
          <w:sz w:val="22"/>
          <w:szCs w:val="22"/>
          <w:lang w:val="en-US"/>
        </w:rPr>
        <w:t xml:space="preserve"> mining and quarrying </w:t>
      </w:r>
      <w:r>
        <w:rPr>
          <w:rFonts w:ascii="Palatino Linotype" w:eastAsia="Times New Roman" w:hAnsi="Palatino Linotype"/>
          <w:sz w:val="22"/>
          <w:szCs w:val="22"/>
          <w:lang w:val="en-US"/>
        </w:rPr>
        <w:t>declined by 5.9</w:t>
      </w:r>
      <w:r w:rsidRPr="000D45CD">
        <w:rPr>
          <w:rFonts w:ascii="Palatino Linotype" w:eastAsia="Times New Roman" w:hAnsi="Palatino Linotype"/>
          <w:sz w:val="22"/>
          <w:szCs w:val="22"/>
          <w:lang w:val="en-US"/>
        </w:rPr>
        <w:t xml:space="preserve"> per cent</w:t>
      </w:r>
      <w:r>
        <w:rPr>
          <w:rFonts w:ascii="Palatino Linotype" w:eastAsia="Times New Roman" w:hAnsi="Palatino Linotype"/>
          <w:sz w:val="22"/>
          <w:szCs w:val="22"/>
          <w:lang w:val="en-US"/>
        </w:rPr>
        <w:t>. I</w:t>
      </w:r>
      <w:r w:rsidRPr="008217C2">
        <w:rPr>
          <w:rFonts w:ascii="Palatino Linotype" w:eastAsia="Times New Roman" w:hAnsi="Palatino Linotype"/>
          <w:sz w:val="22"/>
          <w:szCs w:val="22"/>
          <w:lang w:val="en-US"/>
        </w:rPr>
        <w:t xml:space="preserve">ncrease in growth rates was observed in manufacturing and construction which grew by 1.6 per cent and 6.2 per cent </w:t>
      </w:r>
      <w:r>
        <w:rPr>
          <w:rFonts w:ascii="Palatino Linotype" w:eastAsia="Times New Roman" w:hAnsi="Palatino Linotype"/>
          <w:sz w:val="22"/>
          <w:szCs w:val="22"/>
          <w:lang w:val="en-US"/>
        </w:rPr>
        <w:t xml:space="preserve">respectively in </w:t>
      </w:r>
      <w:r w:rsidRPr="00E50FD2">
        <w:rPr>
          <w:rFonts w:ascii="Palatino Linotype" w:eastAsia="Times New Roman" w:hAnsi="Palatino Linotype"/>
          <w:sz w:val="22"/>
          <w:szCs w:val="22"/>
          <w:lang w:val="en-US"/>
        </w:rPr>
        <w:t>Q3 of 2020-21</w:t>
      </w:r>
      <w:r w:rsidRPr="008217C2">
        <w:rPr>
          <w:rFonts w:ascii="Palatino Linotype" w:eastAsia="Times New Roman" w:hAnsi="Palatino Linotype"/>
          <w:sz w:val="22"/>
          <w:szCs w:val="22"/>
          <w:lang w:val="en-US"/>
        </w:rPr>
        <w:t>.</w:t>
      </w:r>
      <w:r w:rsidRPr="000D45CD">
        <w:rPr>
          <w:rFonts w:ascii="Palatino Linotype" w:eastAsia="Times New Roman" w:hAnsi="Palatino Linotype"/>
          <w:sz w:val="22"/>
          <w:szCs w:val="22"/>
          <w:lang w:val="en-US"/>
        </w:rPr>
        <w:t> </w:t>
      </w:r>
    </w:p>
    <w:p w:rsidR="00A12A17" w:rsidRPr="00E26AAF"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E26AAF"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E26AAF">
        <w:rPr>
          <w:rFonts w:ascii="Palatino Linotype" w:eastAsia="Times New Roman" w:hAnsi="Palatino Linotype"/>
          <w:sz w:val="22"/>
          <w:szCs w:val="22"/>
          <w:lang w:val="en-US"/>
        </w:rPr>
        <w:t xml:space="preserve">According to the </w:t>
      </w:r>
      <w:r>
        <w:rPr>
          <w:rFonts w:ascii="Palatino Linotype" w:eastAsia="Times New Roman" w:hAnsi="Palatino Linotype"/>
          <w:sz w:val="22"/>
          <w:szCs w:val="22"/>
          <w:lang w:val="en-US"/>
        </w:rPr>
        <w:t>Second</w:t>
      </w:r>
      <w:r w:rsidRPr="00E26AAF">
        <w:rPr>
          <w:rFonts w:ascii="Palatino Linotype" w:eastAsia="Times New Roman" w:hAnsi="Palatino Linotype"/>
          <w:sz w:val="22"/>
          <w:szCs w:val="22"/>
          <w:lang w:val="en-US"/>
        </w:rPr>
        <w:t xml:space="preserve"> Advance Estimate released by M</w:t>
      </w:r>
      <w:r>
        <w:rPr>
          <w:rFonts w:ascii="Palatino Linotype" w:eastAsia="Times New Roman" w:hAnsi="Palatino Linotype"/>
          <w:sz w:val="22"/>
          <w:szCs w:val="22"/>
          <w:lang w:val="en-US"/>
        </w:rPr>
        <w:t>o</w:t>
      </w:r>
      <w:r w:rsidRPr="00E26AAF">
        <w:rPr>
          <w:rFonts w:ascii="Palatino Linotype" w:eastAsia="Times New Roman" w:hAnsi="Palatino Linotype"/>
          <w:sz w:val="22"/>
          <w:szCs w:val="22"/>
          <w:lang w:val="en-US"/>
        </w:rPr>
        <w:t>SPI</w:t>
      </w:r>
      <w:r>
        <w:rPr>
          <w:rFonts w:ascii="Palatino Linotype" w:eastAsia="Times New Roman" w:hAnsi="Palatino Linotype"/>
          <w:sz w:val="22"/>
          <w:szCs w:val="22"/>
          <w:lang w:val="en-US"/>
        </w:rPr>
        <w:t xml:space="preserve"> on 26 February 2021</w:t>
      </w:r>
      <w:r w:rsidRPr="00E26AAF">
        <w:rPr>
          <w:rFonts w:ascii="Palatino Linotype" w:eastAsia="Times New Roman" w:hAnsi="Palatino Linotype"/>
          <w:sz w:val="22"/>
          <w:szCs w:val="22"/>
          <w:lang w:val="en-US"/>
        </w:rPr>
        <w:t xml:space="preserve">, GDP of India is estimated to fall by </w:t>
      </w:r>
      <w:r>
        <w:rPr>
          <w:rFonts w:ascii="Palatino Linotype" w:eastAsia="Times New Roman" w:hAnsi="Palatino Linotype"/>
          <w:sz w:val="22"/>
          <w:szCs w:val="22"/>
          <w:lang w:val="en-US"/>
        </w:rPr>
        <w:t>8.0</w:t>
      </w:r>
      <w:r w:rsidRPr="00E26AAF">
        <w:rPr>
          <w:rFonts w:ascii="Palatino Linotype" w:eastAsia="Times New Roman" w:hAnsi="Palatino Linotype"/>
          <w:sz w:val="22"/>
          <w:szCs w:val="22"/>
          <w:lang w:val="en-US"/>
        </w:rPr>
        <w:t xml:space="preserve"> per cent during the Financial Year 2020-21</w:t>
      </w:r>
      <w:r>
        <w:rPr>
          <w:rFonts w:ascii="Palatino Linotype" w:eastAsia="Times New Roman" w:hAnsi="Palatino Linotype"/>
          <w:sz w:val="22"/>
          <w:szCs w:val="22"/>
          <w:lang w:val="en-US"/>
        </w:rPr>
        <w:t xml:space="preserve"> as</w:t>
      </w:r>
      <w:r w:rsidRPr="00E26AAF">
        <w:rPr>
          <w:rFonts w:ascii="Palatino Linotype" w:eastAsia="Times New Roman" w:hAnsi="Palatino Linotype"/>
          <w:sz w:val="22"/>
          <w:szCs w:val="22"/>
          <w:lang w:val="en-US"/>
        </w:rPr>
        <w:t xml:space="preserve"> compared to </w:t>
      </w:r>
      <w:r>
        <w:rPr>
          <w:rFonts w:ascii="Palatino Linotype" w:eastAsia="Times New Roman" w:hAnsi="Palatino Linotype"/>
          <w:sz w:val="22"/>
          <w:szCs w:val="22"/>
          <w:lang w:val="en-US"/>
        </w:rPr>
        <w:t>4.0</w:t>
      </w:r>
      <w:r w:rsidRPr="00E26AAF">
        <w:rPr>
          <w:rFonts w:ascii="Palatino Linotype" w:eastAsia="Times New Roman" w:hAnsi="Palatino Linotype"/>
          <w:sz w:val="22"/>
          <w:szCs w:val="22"/>
          <w:lang w:val="en-US"/>
        </w:rPr>
        <w:t xml:space="preserve"> per cent expansion in 2019-20.</w:t>
      </w:r>
      <w:r w:rsidRPr="00E35F60">
        <w:rPr>
          <w:rFonts w:ascii="Palatino Linotype" w:eastAsia="Times New Roman" w:hAnsi="Palatino Linotype"/>
          <w:sz w:val="22"/>
          <w:szCs w:val="22"/>
          <w:lang w:val="en-US"/>
        </w:rPr>
        <w:t xml:space="preserve"> World Bank estimated India’s GDP to grow by -9.6 per cent in 2020. According to IMF projections, the Indian economy is expected to grow by </w:t>
      </w:r>
      <w:r>
        <w:rPr>
          <w:rFonts w:ascii="Palatino Linotype" w:eastAsia="Times New Roman" w:hAnsi="Palatino Linotype"/>
          <w:sz w:val="22"/>
          <w:szCs w:val="22"/>
          <w:lang w:val="en-US"/>
        </w:rPr>
        <w:t>12</w:t>
      </w:r>
      <w:r w:rsidRPr="00E35F60">
        <w:rPr>
          <w:rFonts w:ascii="Palatino Linotype" w:eastAsia="Times New Roman" w:hAnsi="Palatino Linotype"/>
          <w:sz w:val="22"/>
          <w:szCs w:val="22"/>
          <w:lang w:val="en-US"/>
        </w:rPr>
        <w:t xml:space="preserve">.5 per cent in 2021. </w:t>
      </w:r>
    </w:p>
    <w:p w:rsidR="00A12A17" w:rsidRPr="009F2B94" w:rsidRDefault="00A12A17" w:rsidP="00A12A17">
      <w:pPr>
        <w:spacing w:before="100" w:beforeAutospacing="1" w:line="276" w:lineRule="auto"/>
        <w:ind w:left="360" w:right="107"/>
        <w:contextualSpacing/>
        <w:jc w:val="both"/>
        <w:rPr>
          <w:rFonts w:ascii="Palatino Linotype" w:eastAsia="Times New Roman" w:hAnsi="Palatino Linotype"/>
          <w:sz w:val="22"/>
          <w:szCs w:val="22"/>
          <w:lang w:val="en-US"/>
        </w:rPr>
      </w:pPr>
    </w:p>
    <w:p w:rsidR="00A12A17" w:rsidRPr="009F2B94" w:rsidRDefault="00A12A17" w:rsidP="00A12A17">
      <w:pPr>
        <w:numPr>
          <w:ilvl w:val="0"/>
          <w:numId w:val="9"/>
        </w:numPr>
        <w:spacing w:before="100" w:beforeAutospacing="1" w:line="276" w:lineRule="auto"/>
        <w:ind w:right="107"/>
        <w:contextualSpacing/>
        <w:jc w:val="both"/>
        <w:rPr>
          <w:rFonts w:ascii="Palatino Linotype" w:eastAsia="Times New Roman" w:hAnsi="Palatino Linotype"/>
          <w:sz w:val="22"/>
          <w:szCs w:val="22"/>
          <w:lang w:val="en-US"/>
        </w:rPr>
      </w:pPr>
      <w:r w:rsidRPr="009F2B94">
        <w:rPr>
          <w:rFonts w:ascii="Palatino Linotype" w:eastAsia="Times New Roman" w:hAnsi="Palatino Linotype"/>
          <w:sz w:val="22"/>
          <w:szCs w:val="22"/>
          <w:lang w:val="en-US"/>
        </w:rPr>
        <w:t xml:space="preserve">Retail inflation (CPI Inflation) in India observed to be </w:t>
      </w:r>
      <w:r>
        <w:rPr>
          <w:rFonts w:ascii="Palatino Linotype" w:eastAsia="Times New Roman" w:hAnsi="Palatino Linotype"/>
          <w:sz w:val="22"/>
          <w:szCs w:val="22"/>
          <w:lang w:val="en-US"/>
        </w:rPr>
        <w:t>5.5</w:t>
      </w:r>
      <w:r w:rsidRPr="009F2B9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March</w:t>
      </w:r>
      <w:r w:rsidRPr="009F2B94">
        <w:rPr>
          <w:rFonts w:ascii="Palatino Linotype" w:eastAsia="Times New Roman" w:hAnsi="Palatino Linotype"/>
          <w:sz w:val="22"/>
          <w:szCs w:val="22"/>
          <w:lang w:val="en-US"/>
        </w:rPr>
        <w:t xml:space="preserve"> 2021, compared to </w:t>
      </w:r>
      <w:r>
        <w:rPr>
          <w:rFonts w:ascii="Palatino Linotype" w:eastAsia="Times New Roman" w:hAnsi="Palatino Linotype"/>
          <w:sz w:val="22"/>
          <w:szCs w:val="22"/>
          <w:lang w:val="en-US"/>
        </w:rPr>
        <w:t>5.0</w:t>
      </w:r>
      <w:r w:rsidRPr="009F2B94">
        <w:rPr>
          <w:rFonts w:ascii="Palatino Linotype" w:eastAsia="Times New Roman" w:hAnsi="Palatino Linotype"/>
          <w:sz w:val="22"/>
          <w:szCs w:val="22"/>
          <w:lang w:val="en-US"/>
        </w:rPr>
        <w:t xml:space="preserve"> per cent in a month earlier. Index of Industrial Production (IIP) </w:t>
      </w:r>
      <w:r>
        <w:rPr>
          <w:rFonts w:ascii="Palatino Linotype" w:eastAsia="Times New Roman" w:hAnsi="Palatino Linotype"/>
          <w:sz w:val="22"/>
          <w:szCs w:val="22"/>
          <w:lang w:val="en-US"/>
        </w:rPr>
        <w:t>fell</w:t>
      </w:r>
      <w:r w:rsidRPr="009F2B94">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3.6</w:t>
      </w:r>
      <w:r w:rsidRPr="009F2B9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February</w:t>
      </w:r>
      <w:r w:rsidRPr="009F2B94">
        <w:rPr>
          <w:rFonts w:ascii="Palatino Linotype" w:eastAsia="Times New Roman" w:hAnsi="Palatino Linotype"/>
          <w:sz w:val="22"/>
          <w:szCs w:val="22"/>
          <w:lang w:val="en-US"/>
        </w:rPr>
        <w:t xml:space="preserve"> 202</w:t>
      </w:r>
      <w:r>
        <w:rPr>
          <w:rFonts w:ascii="Palatino Linotype" w:eastAsia="Times New Roman" w:hAnsi="Palatino Linotype"/>
          <w:sz w:val="22"/>
          <w:szCs w:val="22"/>
          <w:lang w:val="en-US"/>
        </w:rPr>
        <w:t>1</w:t>
      </w:r>
      <w:r w:rsidRPr="009F2B94">
        <w:rPr>
          <w:rFonts w:ascii="Palatino Linotype" w:eastAsia="Times New Roman" w:hAnsi="Palatino Linotype"/>
          <w:sz w:val="22"/>
          <w:szCs w:val="22"/>
          <w:lang w:val="en-US"/>
        </w:rPr>
        <w:t xml:space="preserve">, compared to </w:t>
      </w:r>
      <w:r>
        <w:rPr>
          <w:rFonts w:ascii="Palatino Linotype" w:eastAsia="Times New Roman" w:hAnsi="Palatino Linotype"/>
          <w:sz w:val="22"/>
          <w:szCs w:val="22"/>
          <w:lang w:val="en-US"/>
        </w:rPr>
        <w:t>5.2</w:t>
      </w:r>
      <w:r w:rsidRPr="009F2B94">
        <w:rPr>
          <w:rFonts w:ascii="Palatino Linotype" w:eastAsia="Times New Roman" w:hAnsi="Palatino Linotype"/>
          <w:sz w:val="22"/>
          <w:szCs w:val="22"/>
          <w:lang w:val="en-US"/>
        </w:rPr>
        <w:t xml:space="preserve"> per cent </w:t>
      </w:r>
      <w:r>
        <w:rPr>
          <w:rFonts w:ascii="Palatino Linotype" w:eastAsia="Times New Roman" w:hAnsi="Palatino Linotype"/>
          <w:sz w:val="22"/>
          <w:szCs w:val="22"/>
          <w:lang w:val="en-US"/>
        </w:rPr>
        <w:t>growth in the same month in previous year</w:t>
      </w:r>
      <w:r w:rsidRPr="009F2B94">
        <w:rPr>
          <w:rFonts w:ascii="Palatino Linotype" w:eastAsia="Times New Roman" w:hAnsi="Palatino Linotype"/>
          <w:sz w:val="22"/>
          <w:szCs w:val="22"/>
          <w:lang w:val="en-US"/>
        </w:rPr>
        <w:t xml:space="preserve">. The mining sector witnessed </w:t>
      </w:r>
      <w:r>
        <w:rPr>
          <w:rFonts w:ascii="Palatino Linotype" w:eastAsia="Times New Roman" w:hAnsi="Palatino Linotype"/>
          <w:sz w:val="22"/>
          <w:szCs w:val="22"/>
          <w:lang w:val="en-US"/>
        </w:rPr>
        <w:t xml:space="preserve">a </w:t>
      </w:r>
      <w:r w:rsidRPr="009F2B94">
        <w:rPr>
          <w:rFonts w:ascii="Palatino Linotype" w:eastAsia="Times New Roman" w:hAnsi="Palatino Linotype"/>
          <w:sz w:val="22"/>
          <w:szCs w:val="22"/>
          <w:lang w:val="en-US"/>
        </w:rPr>
        <w:t xml:space="preserve">contraction of </w:t>
      </w:r>
      <w:r>
        <w:rPr>
          <w:rFonts w:ascii="Palatino Linotype" w:eastAsia="Times New Roman" w:hAnsi="Palatino Linotype"/>
          <w:sz w:val="22"/>
          <w:szCs w:val="22"/>
          <w:lang w:val="en-US"/>
        </w:rPr>
        <w:t>5.5</w:t>
      </w:r>
      <w:r w:rsidRPr="009F2B94">
        <w:rPr>
          <w:rFonts w:ascii="Palatino Linotype" w:eastAsia="Times New Roman" w:hAnsi="Palatino Linotype"/>
          <w:sz w:val="22"/>
          <w:szCs w:val="22"/>
          <w:lang w:val="en-US"/>
        </w:rPr>
        <w:t xml:space="preserve"> per cent as compared to growth of</w:t>
      </w:r>
      <w:r>
        <w:rPr>
          <w:rFonts w:ascii="Palatino Linotype" w:eastAsia="Times New Roman" w:hAnsi="Palatino Linotype"/>
          <w:sz w:val="22"/>
          <w:szCs w:val="22"/>
          <w:lang w:val="en-US"/>
        </w:rPr>
        <w:t xml:space="preserve"> 9.6</w:t>
      </w:r>
      <w:r w:rsidRPr="009F2B94">
        <w:rPr>
          <w:rFonts w:ascii="Palatino Linotype" w:eastAsia="Times New Roman" w:hAnsi="Palatino Linotype"/>
          <w:sz w:val="22"/>
          <w:szCs w:val="22"/>
          <w:lang w:val="en-US"/>
        </w:rPr>
        <w:t xml:space="preserve"> per cent a year ago, while the manufacturing sector </w:t>
      </w:r>
      <w:r>
        <w:rPr>
          <w:rFonts w:ascii="Palatino Linotype" w:eastAsia="Times New Roman" w:hAnsi="Palatino Linotype"/>
          <w:sz w:val="22"/>
          <w:szCs w:val="22"/>
          <w:lang w:val="en-US"/>
        </w:rPr>
        <w:t>contracted</w:t>
      </w:r>
      <w:r w:rsidRPr="009F2B94">
        <w:rPr>
          <w:rFonts w:ascii="Palatino Linotype" w:eastAsia="Times New Roman" w:hAnsi="Palatino Linotype"/>
          <w:sz w:val="22"/>
          <w:szCs w:val="22"/>
          <w:lang w:val="en-US"/>
        </w:rPr>
        <w:t xml:space="preserve"> by </w:t>
      </w:r>
      <w:r>
        <w:rPr>
          <w:rFonts w:ascii="Palatino Linotype" w:eastAsia="Times New Roman" w:hAnsi="Palatino Linotype"/>
          <w:sz w:val="22"/>
          <w:szCs w:val="22"/>
          <w:lang w:val="en-US"/>
        </w:rPr>
        <w:t xml:space="preserve">3.7 </w:t>
      </w:r>
      <w:r w:rsidRPr="009F2B94">
        <w:rPr>
          <w:rFonts w:ascii="Palatino Linotype" w:eastAsia="Times New Roman" w:hAnsi="Palatino Linotype"/>
          <w:sz w:val="22"/>
          <w:szCs w:val="22"/>
          <w:lang w:val="en-US"/>
        </w:rPr>
        <w:t xml:space="preserve">per cent in </w:t>
      </w:r>
      <w:r>
        <w:rPr>
          <w:rFonts w:ascii="Palatino Linotype" w:eastAsia="Times New Roman" w:hAnsi="Palatino Linotype"/>
          <w:sz w:val="22"/>
          <w:szCs w:val="22"/>
          <w:lang w:val="en-US"/>
        </w:rPr>
        <w:t>February</w:t>
      </w:r>
      <w:r w:rsidRPr="00152E30">
        <w:rPr>
          <w:rFonts w:ascii="Palatino Linotype" w:eastAsia="Times New Roman" w:hAnsi="Palatino Linotype"/>
          <w:sz w:val="22"/>
          <w:szCs w:val="22"/>
          <w:lang w:val="en-US"/>
        </w:rPr>
        <w:t xml:space="preserve"> 2021 </w:t>
      </w:r>
      <w:r w:rsidRPr="009F2B94">
        <w:rPr>
          <w:rFonts w:ascii="Palatino Linotype" w:eastAsia="Times New Roman" w:hAnsi="Palatino Linotype"/>
          <w:sz w:val="22"/>
          <w:szCs w:val="22"/>
          <w:lang w:val="en-US"/>
        </w:rPr>
        <w:t xml:space="preserve">as against a </w:t>
      </w:r>
      <w:r>
        <w:rPr>
          <w:rFonts w:ascii="Palatino Linotype" w:eastAsia="Times New Roman" w:hAnsi="Palatino Linotype"/>
          <w:sz w:val="22"/>
          <w:szCs w:val="22"/>
          <w:lang w:val="en-US"/>
        </w:rPr>
        <w:t>growth</w:t>
      </w:r>
      <w:r w:rsidRPr="009F2B94">
        <w:rPr>
          <w:rFonts w:ascii="Palatino Linotype" w:eastAsia="Times New Roman" w:hAnsi="Palatino Linotype"/>
          <w:sz w:val="22"/>
          <w:szCs w:val="22"/>
          <w:lang w:val="en-US"/>
        </w:rPr>
        <w:t xml:space="preserve"> of </w:t>
      </w:r>
      <w:r>
        <w:rPr>
          <w:rFonts w:ascii="Palatino Linotype" w:eastAsia="Times New Roman" w:hAnsi="Palatino Linotype"/>
          <w:sz w:val="22"/>
          <w:szCs w:val="22"/>
          <w:lang w:val="en-US"/>
        </w:rPr>
        <w:t>3.8</w:t>
      </w:r>
      <w:r w:rsidRPr="009F2B94">
        <w:rPr>
          <w:rFonts w:ascii="Palatino Linotype" w:eastAsia="Times New Roman" w:hAnsi="Palatino Linotype"/>
          <w:sz w:val="22"/>
          <w:szCs w:val="22"/>
          <w:lang w:val="en-US"/>
        </w:rPr>
        <w:t xml:space="preserve"> per cent in </w:t>
      </w:r>
      <w:r>
        <w:rPr>
          <w:rFonts w:ascii="Palatino Linotype" w:eastAsia="Times New Roman" w:hAnsi="Palatino Linotype"/>
          <w:sz w:val="22"/>
          <w:szCs w:val="22"/>
          <w:lang w:val="en-US"/>
        </w:rPr>
        <w:t>February</w:t>
      </w:r>
      <w:r w:rsidRPr="00152E30">
        <w:rPr>
          <w:rFonts w:ascii="Palatino Linotype" w:eastAsia="Times New Roman" w:hAnsi="Palatino Linotype"/>
          <w:sz w:val="22"/>
          <w:szCs w:val="22"/>
          <w:lang w:val="en-US"/>
        </w:rPr>
        <w:t xml:space="preserve"> 20</w:t>
      </w:r>
      <w:r>
        <w:rPr>
          <w:rFonts w:ascii="Palatino Linotype" w:eastAsia="Times New Roman" w:hAnsi="Palatino Linotype"/>
          <w:sz w:val="22"/>
          <w:szCs w:val="22"/>
          <w:lang w:val="en-US"/>
        </w:rPr>
        <w:t>20</w:t>
      </w:r>
      <w:r w:rsidRPr="009F2B94">
        <w:rPr>
          <w:rFonts w:ascii="Palatino Linotype" w:eastAsia="Times New Roman" w:hAnsi="Palatino Linotype"/>
          <w:sz w:val="22"/>
          <w:szCs w:val="22"/>
          <w:lang w:val="en-US"/>
        </w:rPr>
        <w:t>.</w:t>
      </w:r>
      <w:r w:rsidRPr="009F2B94">
        <w:rPr>
          <w:color w:val="212121"/>
          <w:sz w:val="27"/>
          <w:szCs w:val="27"/>
          <w:shd w:val="clear" w:color="auto" w:fill="FFFFFF"/>
        </w:rPr>
        <w:t> </w:t>
      </w:r>
      <w:r w:rsidRPr="009F2B94">
        <w:rPr>
          <w:rFonts w:ascii="Palatino Linotype" w:eastAsia="Times New Roman" w:hAnsi="Palatino Linotype"/>
          <w:sz w:val="22"/>
          <w:szCs w:val="22"/>
          <w:lang w:val="en-US"/>
        </w:rPr>
        <w:t xml:space="preserve"> India’s manufacturing PMI for </w:t>
      </w:r>
      <w:r>
        <w:rPr>
          <w:rFonts w:ascii="Palatino Linotype" w:eastAsia="Times New Roman" w:hAnsi="Palatino Linotype"/>
          <w:sz w:val="22"/>
          <w:szCs w:val="22"/>
          <w:lang w:val="en-US"/>
        </w:rPr>
        <w:t>March</w:t>
      </w:r>
      <w:r w:rsidRPr="009F2B94">
        <w:rPr>
          <w:rFonts w:ascii="Palatino Linotype" w:eastAsia="Times New Roman" w:hAnsi="Palatino Linotype"/>
          <w:sz w:val="22"/>
          <w:szCs w:val="22"/>
          <w:lang w:val="en-US"/>
        </w:rPr>
        <w:t xml:space="preserve"> was observed to be </w:t>
      </w:r>
      <w:r>
        <w:rPr>
          <w:rFonts w:ascii="Palatino Linotype" w:eastAsia="Times New Roman" w:hAnsi="Palatino Linotype"/>
          <w:sz w:val="22"/>
          <w:szCs w:val="22"/>
          <w:lang w:val="en-US"/>
        </w:rPr>
        <w:t>55.4</w:t>
      </w:r>
      <w:r w:rsidRPr="009F2B94">
        <w:rPr>
          <w:rFonts w:ascii="Palatino Linotype" w:eastAsia="Times New Roman" w:hAnsi="Palatino Linotype"/>
          <w:sz w:val="22"/>
          <w:szCs w:val="22"/>
          <w:lang w:val="en-US"/>
        </w:rPr>
        <w:t xml:space="preserve"> against </w:t>
      </w:r>
      <w:r>
        <w:rPr>
          <w:rFonts w:ascii="Palatino Linotype" w:eastAsia="Times New Roman" w:hAnsi="Palatino Linotype"/>
          <w:sz w:val="22"/>
          <w:szCs w:val="22"/>
          <w:lang w:val="en-US"/>
        </w:rPr>
        <w:t>57.5</w:t>
      </w:r>
      <w:r w:rsidRPr="009F2B94">
        <w:rPr>
          <w:rFonts w:ascii="Palatino Linotype" w:eastAsia="Times New Roman" w:hAnsi="Palatino Linotype"/>
          <w:sz w:val="22"/>
          <w:szCs w:val="22"/>
          <w:lang w:val="en-US"/>
        </w:rPr>
        <w:t xml:space="preserve"> of the previous month. The services PMI was observed to be</w:t>
      </w:r>
      <w:r>
        <w:rPr>
          <w:rFonts w:ascii="Palatino Linotype" w:eastAsia="Times New Roman" w:hAnsi="Palatino Linotype"/>
          <w:sz w:val="22"/>
          <w:szCs w:val="22"/>
          <w:lang w:val="en-US"/>
        </w:rPr>
        <w:t xml:space="preserve"> 54.6</w:t>
      </w:r>
      <w:r w:rsidRPr="009F2B94">
        <w:rPr>
          <w:rFonts w:ascii="Palatino Linotype" w:eastAsia="Times New Roman" w:hAnsi="Palatino Linotype"/>
          <w:sz w:val="22"/>
          <w:szCs w:val="22"/>
          <w:lang w:val="en-US"/>
        </w:rPr>
        <w:t xml:space="preserve"> in </w:t>
      </w:r>
      <w:r>
        <w:rPr>
          <w:rFonts w:ascii="Palatino Linotype" w:eastAsia="Times New Roman" w:hAnsi="Palatino Linotype"/>
          <w:sz w:val="22"/>
          <w:szCs w:val="22"/>
          <w:lang w:val="en-US"/>
        </w:rPr>
        <w:t>March</w:t>
      </w:r>
      <w:r w:rsidRPr="009F2B94">
        <w:rPr>
          <w:rFonts w:ascii="Palatino Linotype" w:eastAsia="Times New Roman" w:hAnsi="Palatino Linotype"/>
          <w:sz w:val="22"/>
          <w:szCs w:val="22"/>
          <w:lang w:val="en-US"/>
        </w:rPr>
        <w:t xml:space="preserve"> 2021 against </w:t>
      </w:r>
      <w:r>
        <w:rPr>
          <w:rFonts w:ascii="Palatino Linotype" w:eastAsia="Times New Roman" w:hAnsi="Palatino Linotype"/>
          <w:sz w:val="22"/>
          <w:szCs w:val="22"/>
          <w:lang w:val="en-US"/>
        </w:rPr>
        <w:t>55.3</w:t>
      </w:r>
      <w:r w:rsidRPr="009F2B94">
        <w:rPr>
          <w:rFonts w:ascii="Palatino Linotype" w:eastAsia="Times New Roman" w:hAnsi="Palatino Linotype"/>
          <w:sz w:val="22"/>
          <w:szCs w:val="22"/>
          <w:lang w:val="en-US"/>
        </w:rPr>
        <w:t xml:space="preserve"> of the previous month.</w:t>
      </w:r>
    </w:p>
    <w:p w:rsidR="00A12A17" w:rsidRPr="009F2B94" w:rsidRDefault="00A12A17" w:rsidP="00A12A17">
      <w:pPr>
        <w:spacing w:line="23" w:lineRule="atLeast"/>
        <w:ind w:left="720"/>
        <w:contextualSpacing/>
        <w:rPr>
          <w:rFonts w:ascii="Garamond" w:eastAsia="Times New Roman" w:hAnsi="Garamond"/>
          <w:b/>
          <w:lang w:val="en-US" w:eastAsia="en-GB"/>
        </w:rPr>
      </w:pPr>
    </w:p>
    <w:p w:rsidR="00A12A17" w:rsidRPr="00ED58C0" w:rsidRDefault="00A12A17" w:rsidP="00A12A17">
      <w:pPr>
        <w:spacing w:line="23" w:lineRule="atLeast"/>
        <w:ind w:left="180"/>
        <w:contextualSpacing/>
        <w:rPr>
          <w:rFonts w:ascii="Palatino Linotype" w:eastAsia="Times New Roman" w:hAnsi="Palatino Linotype"/>
          <w:b/>
          <w:sz w:val="22"/>
          <w:szCs w:val="22"/>
          <w:lang w:val="en-US" w:eastAsia="en-GB"/>
        </w:rPr>
      </w:pPr>
      <w:r w:rsidRPr="00ED58C0">
        <w:rPr>
          <w:rFonts w:ascii="Palatino Linotype" w:eastAsia="Times New Roman" w:hAnsi="Palatino Linotype"/>
          <w:b/>
          <w:sz w:val="22"/>
          <w:szCs w:val="22"/>
          <w:lang w:val="en-US" w:eastAsia="en-GB"/>
        </w:rPr>
        <w:t>Market Trends</w:t>
      </w:r>
      <w:r w:rsidRPr="00ED58C0">
        <w:rPr>
          <w:rFonts w:ascii="Palatino Linotype" w:eastAsia="Times New Roman" w:hAnsi="Palatino Linotype"/>
          <w:b/>
          <w:sz w:val="22"/>
          <w:szCs w:val="22"/>
          <w:vertAlign w:val="superscript"/>
          <w:lang w:val="en-US" w:eastAsia="en-GB"/>
        </w:rPr>
        <w:footnoteReference w:id="2"/>
      </w:r>
      <w:r w:rsidRPr="00ED58C0">
        <w:rPr>
          <w:rFonts w:ascii="Palatino Linotype" w:eastAsia="Times New Roman" w:hAnsi="Palatino Linotype"/>
          <w:b/>
          <w:sz w:val="22"/>
          <w:szCs w:val="22"/>
          <w:lang w:val="en-US" w:eastAsia="en-GB"/>
        </w:rPr>
        <w:t xml:space="preserve"> – </w:t>
      </w:r>
    </w:p>
    <w:p w:rsidR="00A12A17" w:rsidRPr="00ED58C0" w:rsidRDefault="00A12A17" w:rsidP="00A12A17">
      <w:pPr>
        <w:spacing w:line="23" w:lineRule="atLeast"/>
        <w:ind w:left="180"/>
        <w:contextualSpacing/>
        <w:rPr>
          <w:rFonts w:ascii="Palatino Linotype" w:eastAsia="Times New Roman" w:hAnsi="Palatino Linotype"/>
          <w:b/>
          <w:sz w:val="22"/>
          <w:szCs w:val="22"/>
          <w:lang w:val="en-US" w:eastAsia="en-GB"/>
        </w:rPr>
      </w:pPr>
    </w:p>
    <w:p w:rsidR="00A12A17" w:rsidRPr="00ED58C0" w:rsidRDefault="00A12A17" w:rsidP="00A12A17">
      <w:pPr>
        <w:spacing w:line="360" w:lineRule="auto"/>
        <w:ind w:left="720"/>
        <w:contextualSpacing/>
        <w:rPr>
          <w:rFonts w:ascii="Palatino Linotype" w:eastAsia="Times New Roman" w:hAnsi="Palatino Linotype"/>
          <w:b/>
          <w:sz w:val="22"/>
          <w:szCs w:val="22"/>
          <w:lang w:val="en-US" w:eastAsia="en-GB"/>
        </w:rPr>
      </w:pPr>
      <w:r w:rsidRPr="00ED58C0">
        <w:rPr>
          <w:rFonts w:ascii="Palatino Linotype" w:eastAsia="Times New Roman" w:hAnsi="Palatino Linotype"/>
          <w:b/>
          <w:sz w:val="22"/>
          <w:szCs w:val="22"/>
          <w:u w:val="single"/>
          <w:lang w:val="en-US" w:eastAsia="en-GB"/>
        </w:rPr>
        <w:t>Equity Markets (Figures 1-2, Table A1)</w:t>
      </w:r>
      <w:r w:rsidRPr="00ED58C0">
        <w:rPr>
          <w:rFonts w:ascii="Palatino Linotype" w:eastAsia="Times New Roman" w:hAnsi="Palatino Linotype"/>
          <w:b/>
          <w:sz w:val="22"/>
          <w:szCs w:val="22"/>
          <w:lang w:val="en-US" w:eastAsia="en-GB"/>
        </w:rPr>
        <w:t>-</w:t>
      </w:r>
    </w:p>
    <w:p w:rsidR="00A12A17" w:rsidRPr="00ED58C0" w:rsidRDefault="00A12A17" w:rsidP="00A12A17">
      <w:pPr>
        <w:numPr>
          <w:ilvl w:val="0"/>
          <w:numId w:val="8"/>
        </w:numPr>
        <w:spacing w:line="276" w:lineRule="auto"/>
        <w:jc w:val="both"/>
        <w:rPr>
          <w:rFonts w:ascii="Palatino Linotype" w:eastAsia="Times New Roman" w:hAnsi="Palatino Linotype"/>
          <w:bCs/>
          <w:color w:val="FF0000"/>
          <w:sz w:val="22"/>
          <w:szCs w:val="22"/>
          <w:lang w:val="en-US" w:eastAsia="en-GB"/>
        </w:rPr>
      </w:pPr>
      <w:r w:rsidRPr="00ED58C0">
        <w:rPr>
          <w:rFonts w:ascii="Palatino Linotype" w:eastAsia="Times New Roman" w:hAnsi="Palatino Linotype"/>
          <w:bCs/>
          <w:sz w:val="22"/>
          <w:szCs w:val="22"/>
          <w:lang w:val="en-US" w:eastAsia="en-GB"/>
        </w:rPr>
        <w:t xml:space="preserve">In the month of </w:t>
      </w:r>
      <w:r>
        <w:rPr>
          <w:rFonts w:ascii="Palatino Linotype" w:eastAsia="Times New Roman" w:hAnsi="Palatino Linotype"/>
          <w:bCs/>
          <w:sz w:val="22"/>
          <w:szCs w:val="22"/>
          <w:lang w:val="en-US" w:eastAsia="en-GB"/>
        </w:rPr>
        <w:t>March</w:t>
      </w:r>
      <w:r w:rsidRPr="00ED58C0">
        <w:rPr>
          <w:rFonts w:ascii="Palatino Linotype" w:eastAsia="Times New Roman" w:hAnsi="Palatino Linotype"/>
          <w:bCs/>
          <w:sz w:val="22"/>
          <w:szCs w:val="22"/>
          <w:lang w:val="en-US" w:eastAsia="en-GB"/>
        </w:rPr>
        <w:t xml:space="preserve"> 2021, highest annualized monthly volatility amongst the BRICS countries was observed in Russian Traded (</w:t>
      </w:r>
      <w:r w:rsidRPr="005A0259">
        <w:rPr>
          <w:rFonts w:ascii="Palatino Linotype" w:eastAsia="Times New Roman" w:hAnsi="Palatino Linotype"/>
          <w:bCs/>
          <w:sz w:val="22"/>
          <w:szCs w:val="22"/>
          <w:lang w:val="en-US" w:eastAsia="en-GB"/>
        </w:rPr>
        <w:t>25.8</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per cent) followed by</w:t>
      </w:r>
      <w:r w:rsidRPr="005A0259">
        <w:rPr>
          <w:rFonts w:ascii="Palatino Linotype" w:eastAsia="Times New Roman" w:hAnsi="Palatino Linotype"/>
          <w:bCs/>
          <w:sz w:val="22"/>
          <w:szCs w:val="22"/>
          <w:lang w:val="en-US" w:eastAsia="en-GB"/>
        </w:rPr>
        <w:t xml:space="preserve"> </w:t>
      </w:r>
      <w:r w:rsidRPr="007023FA">
        <w:rPr>
          <w:rFonts w:ascii="Palatino Linotype" w:eastAsia="Times New Roman" w:hAnsi="Palatino Linotype"/>
          <w:bCs/>
          <w:sz w:val="22"/>
          <w:szCs w:val="22"/>
          <w:lang w:val="en-US" w:eastAsia="en-GB"/>
        </w:rPr>
        <w:t xml:space="preserve">Brazil IBOVESPA </w:t>
      </w:r>
      <w:r w:rsidRPr="00ED58C0">
        <w:rPr>
          <w:rFonts w:ascii="Palatino Linotype" w:eastAsia="Times New Roman" w:hAnsi="Palatino Linotype"/>
          <w:bCs/>
          <w:sz w:val="22"/>
          <w:szCs w:val="22"/>
          <w:lang w:val="en-US" w:eastAsia="en-GB"/>
        </w:rPr>
        <w:t>(</w:t>
      </w:r>
      <w:r w:rsidRPr="00941640">
        <w:rPr>
          <w:rFonts w:ascii="Palatino Linotype" w:eastAsia="Times New Roman" w:hAnsi="Palatino Linotype"/>
          <w:bCs/>
          <w:sz w:val="22"/>
          <w:szCs w:val="22"/>
          <w:lang w:val="en-US" w:eastAsia="en-GB"/>
        </w:rPr>
        <w:t>23.0</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per cent) and</w:t>
      </w:r>
      <w:r w:rsidRPr="00941640">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Shanghai Composite (</w:t>
      </w:r>
      <w:r>
        <w:rPr>
          <w:rFonts w:ascii="Palatino Linotype" w:eastAsia="Times New Roman" w:hAnsi="Palatino Linotype"/>
          <w:bCs/>
          <w:sz w:val="22"/>
          <w:szCs w:val="22"/>
          <w:lang w:val="en-US" w:eastAsia="en-GB"/>
        </w:rPr>
        <w:t>20.2</w:t>
      </w:r>
      <w:r w:rsidRPr="00ED58C0">
        <w:rPr>
          <w:rFonts w:ascii="Palatino Linotype" w:eastAsia="Times New Roman" w:hAnsi="Palatino Linotype"/>
          <w:bCs/>
          <w:sz w:val="22"/>
          <w:szCs w:val="22"/>
          <w:lang w:val="en-US" w:eastAsia="en-GB"/>
        </w:rPr>
        <w:t xml:space="preserve"> per cent). The lowest annualized volatility among BRICS was observed</w:t>
      </w:r>
      <w:r>
        <w:rPr>
          <w:rFonts w:ascii="Palatino Linotype" w:eastAsia="Times New Roman" w:hAnsi="Palatino Linotype"/>
          <w:bCs/>
          <w:sz w:val="22"/>
          <w:szCs w:val="22"/>
          <w:lang w:val="en-US" w:eastAsia="en-GB"/>
        </w:rPr>
        <w:t xml:space="preserve"> for</w:t>
      </w:r>
      <w:r w:rsidRPr="00ED58C0">
        <w:rPr>
          <w:rFonts w:ascii="Palatino Linotype" w:eastAsia="Times New Roman" w:hAnsi="Palatino Linotype"/>
          <w:bCs/>
          <w:sz w:val="22"/>
          <w:szCs w:val="22"/>
          <w:lang w:val="en-US" w:eastAsia="en-GB"/>
        </w:rPr>
        <w:t xml:space="preserve"> </w:t>
      </w:r>
      <w:r w:rsidRPr="007023FA">
        <w:rPr>
          <w:rFonts w:ascii="Palatino Linotype" w:eastAsia="Times New Roman" w:hAnsi="Palatino Linotype"/>
          <w:bCs/>
          <w:sz w:val="22"/>
          <w:szCs w:val="22"/>
          <w:lang w:val="en-US" w:eastAsia="en-GB"/>
        </w:rPr>
        <w:t>South Africa</w:t>
      </w:r>
      <w:r>
        <w:rPr>
          <w:rFonts w:ascii="Palatino Linotype" w:eastAsia="Times New Roman" w:hAnsi="Palatino Linotype"/>
          <w:bCs/>
          <w:sz w:val="22"/>
          <w:szCs w:val="22"/>
          <w:lang w:val="en-US" w:eastAsia="en-GB"/>
        </w:rPr>
        <w:t xml:space="preserve"> FTSE </w:t>
      </w:r>
      <w:r w:rsidRPr="00ED58C0">
        <w:rPr>
          <w:rFonts w:ascii="Palatino Linotype" w:eastAsia="Times New Roman" w:hAnsi="Palatino Linotype"/>
          <w:bCs/>
          <w:sz w:val="22"/>
          <w:szCs w:val="22"/>
          <w:lang w:val="en-US" w:eastAsia="en-GB"/>
        </w:rPr>
        <w:t>(</w:t>
      </w:r>
      <w:r>
        <w:rPr>
          <w:rFonts w:ascii="Palatino Linotype" w:eastAsia="Times New Roman" w:hAnsi="Palatino Linotype"/>
          <w:sz w:val="22"/>
          <w:szCs w:val="22"/>
          <w:lang w:val="en-IN" w:eastAsia="en-IN"/>
        </w:rPr>
        <w:t>16</w:t>
      </w:r>
      <w:r w:rsidRPr="007023FA">
        <w:rPr>
          <w:rFonts w:ascii="Palatino Linotype" w:eastAsia="Times New Roman" w:hAnsi="Palatino Linotype"/>
          <w:sz w:val="22"/>
          <w:szCs w:val="22"/>
          <w:lang w:val="en-IN" w:eastAsia="en-IN"/>
        </w:rPr>
        <w:t>.8</w:t>
      </w:r>
      <w:r w:rsidRPr="00ED58C0">
        <w:rPr>
          <w:rFonts w:ascii="Palatino Linotype" w:eastAsia="Times New Roman" w:hAnsi="Palatino Linotype"/>
          <w:sz w:val="22"/>
          <w:szCs w:val="22"/>
          <w:lang w:val="en-IN" w:eastAsia="en-IN"/>
        </w:rPr>
        <w:t xml:space="preserve"> per cent</w:t>
      </w:r>
      <w:r>
        <w:rPr>
          <w:rFonts w:ascii="Palatino Linotype" w:eastAsia="Times New Roman" w:hAnsi="Palatino Linotype"/>
          <w:sz w:val="22"/>
          <w:szCs w:val="22"/>
          <w:lang w:val="en-IN" w:eastAsia="en-IN"/>
        </w:rPr>
        <w:t>)</w:t>
      </w:r>
      <w:r>
        <w:rPr>
          <w:rFonts w:ascii="Palatino Linotype" w:eastAsia="Times New Roman" w:hAnsi="Palatino Linotype"/>
          <w:bCs/>
          <w:sz w:val="22"/>
          <w:szCs w:val="22"/>
          <w:lang w:val="en-US" w:eastAsia="en-GB"/>
        </w:rPr>
        <w:t xml:space="preserve"> followed by</w:t>
      </w:r>
      <w:r w:rsidRPr="00ED58C0">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 xml:space="preserve">India (Sensex </w:t>
      </w:r>
      <w:r w:rsidRPr="00E5322E">
        <w:rPr>
          <w:rFonts w:ascii="Palatino Linotype" w:eastAsia="Times New Roman" w:hAnsi="Palatino Linotype"/>
          <w:bCs/>
          <w:sz w:val="22"/>
          <w:szCs w:val="22"/>
          <w:lang w:val="en-US" w:eastAsia="en-GB"/>
        </w:rPr>
        <w:t>18.6</w:t>
      </w:r>
      <w:r w:rsidRPr="00ED58C0">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and Nifty 18.5 per cent</w:t>
      </w:r>
      <w:r w:rsidRPr="00ED58C0">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 xml:space="preserve">Among the developed markets, highest annualized volatility was observed in </w:t>
      </w:r>
      <w:r>
        <w:rPr>
          <w:rFonts w:ascii="Palatino Linotype" w:eastAsia="Times New Roman" w:hAnsi="Palatino Linotype"/>
          <w:bCs/>
          <w:sz w:val="22"/>
          <w:szCs w:val="22"/>
          <w:lang w:val="en-US" w:eastAsia="en-GB"/>
        </w:rPr>
        <w:t>USA Nasdaq Composite</w:t>
      </w:r>
      <w:r w:rsidRPr="00F82B92">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28.5</w:t>
      </w:r>
      <w:r w:rsidRPr="00ED58C0">
        <w:rPr>
          <w:rFonts w:ascii="Palatino Linotype" w:eastAsia="Times New Roman" w:hAnsi="Palatino Linotype"/>
          <w:bCs/>
          <w:sz w:val="22"/>
          <w:szCs w:val="22"/>
          <w:lang w:val="en-US" w:eastAsia="en-GB"/>
        </w:rPr>
        <w:t xml:space="preserve"> per cent) and the lowest was observed at </w:t>
      </w:r>
      <w:r>
        <w:rPr>
          <w:rFonts w:ascii="Palatino Linotype" w:eastAsia="Times New Roman" w:hAnsi="Palatino Linotype"/>
          <w:bCs/>
          <w:sz w:val="22"/>
          <w:szCs w:val="22"/>
          <w:lang w:val="en-US" w:eastAsia="en-GB"/>
        </w:rPr>
        <w:t xml:space="preserve">Singapore STI </w:t>
      </w:r>
      <w:r w:rsidRPr="00ED58C0">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9.8 per cent</w:t>
      </w:r>
      <w:r w:rsidRPr="00ED58C0">
        <w:rPr>
          <w:rFonts w:ascii="Palatino Linotype" w:eastAsia="Times New Roman" w:hAnsi="Palatino Linotype"/>
          <w:bCs/>
          <w:sz w:val="22"/>
          <w:szCs w:val="22"/>
          <w:lang w:val="en-US" w:eastAsia="en-GB"/>
        </w:rPr>
        <w:t xml:space="preserve">). </w:t>
      </w:r>
    </w:p>
    <w:p w:rsidR="00A12A17" w:rsidRPr="00ED58C0" w:rsidRDefault="00A12A17" w:rsidP="00A12A17">
      <w:pPr>
        <w:spacing w:line="276" w:lineRule="auto"/>
        <w:ind w:left="357"/>
        <w:jc w:val="both"/>
        <w:rPr>
          <w:rFonts w:ascii="Garamond" w:eastAsia="Times New Roman" w:hAnsi="Garamond"/>
          <w:bCs/>
          <w:color w:val="FF0000"/>
          <w:lang w:val="en-US" w:eastAsia="en-GB"/>
        </w:rPr>
      </w:pPr>
    </w:p>
    <w:p w:rsidR="00A12A17" w:rsidRPr="00ED58C0" w:rsidRDefault="00A12A17" w:rsidP="00A12A17">
      <w:pPr>
        <w:numPr>
          <w:ilvl w:val="0"/>
          <w:numId w:val="8"/>
        </w:numPr>
        <w:spacing w:line="276" w:lineRule="auto"/>
        <w:jc w:val="both"/>
        <w:rPr>
          <w:rFonts w:ascii="Palatino Linotype" w:eastAsia="Times New Roman" w:hAnsi="Palatino Linotype"/>
          <w:bCs/>
          <w:color w:val="FF0000"/>
          <w:sz w:val="22"/>
          <w:szCs w:val="22"/>
          <w:lang w:val="en-US" w:eastAsia="en-GB"/>
        </w:rPr>
      </w:pPr>
      <w:r w:rsidRPr="00ED58C0">
        <w:rPr>
          <w:rFonts w:ascii="Palatino Linotype" w:eastAsia="Times New Roman" w:hAnsi="Palatino Linotype"/>
          <w:bCs/>
          <w:sz w:val="22"/>
          <w:szCs w:val="22"/>
          <w:lang w:val="en-US" w:eastAsia="en-GB"/>
        </w:rPr>
        <w:t>In most of the analyzed markets</w:t>
      </w:r>
      <w:r w:rsidRPr="00ED58C0">
        <w:rPr>
          <w:rFonts w:ascii="Palatino Linotype" w:eastAsia="Times New Roman" w:hAnsi="Palatino Linotype"/>
          <w:bCs/>
          <w:sz w:val="22"/>
          <w:szCs w:val="22"/>
          <w:vertAlign w:val="superscript"/>
          <w:lang w:val="en-US" w:eastAsia="en-GB"/>
        </w:rPr>
        <w:footnoteReference w:id="3"/>
      </w:r>
      <w:r w:rsidRPr="00ED58C0">
        <w:rPr>
          <w:rFonts w:ascii="Palatino Linotype" w:eastAsia="Times New Roman" w:hAnsi="Palatino Linotype"/>
          <w:bCs/>
          <w:sz w:val="22"/>
          <w:szCs w:val="22"/>
          <w:lang w:val="en-US" w:eastAsia="en-GB"/>
        </w:rPr>
        <w:t xml:space="preserve">, an increase was observed in most of the indices during </w:t>
      </w:r>
      <w:r>
        <w:rPr>
          <w:rFonts w:ascii="Palatino Linotype" w:eastAsia="Times New Roman" w:hAnsi="Palatino Linotype"/>
          <w:bCs/>
          <w:sz w:val="22"/>
          <w:szCs w:val="22"/>
          <w:lang w:val="en-US" w:eastAsia="en-GB"/>
        </w:rPr>
        <w:t>March</w:t>
      </w:r>
      <w:r w:rsidRPr="00ED58C0">
        <w:rPr>
          <w:rFonts w:ascii="Palatino Linotype" w:eastAsia="Times New Roman" w:hAnsi="Palatino Linotype"/>
          <w:bCs/>
          <w:sz w:val="22"/>
          <w:szCs w:val="22"/>
          <w:lang w:val="en-US" w:eastAsia="en-GB"/>
        </w:rPr>
        <w:t xml:space="preserve"> 2021 over the previous month. Amongst BRICS nations, an increase was observed in</w:t>
      </w:r>
      <w:r>
        <w:rPr>
          <w:rFonts w:ascii="Palatino Linotype" w:eastAsia="Times New Roman" w:hAnsi="Palatino Linotype"/>
          <w:bCs/>
          <w:sz w:val="22"/>
          <w:szCs w:val="22"/>
          <w:lang w:val="en-US" w:eastAsia="en-GB"/>
        </w:rPr>
        <w:t xml:space="preserve"> </w:t>
      </w:r>
      <w:r w:rsidRPr="007023FA">
        <w:rPr>
          <w:rFonts w:ascii="Palatino Linotype" w:eastAsia="Times New Roman" w:hAnsi="Palatino Linotype"/>
          <w:bCs/>
          <w:sz w:val="22"/>
          <w:szCs w:val="22"/>
          <w:lang w:val="en-US" w:eastAsia="en-GB"/>
        </w:rPr>
        <w:t xml:space="preserve">Brazil IBOVESPA </w:t>
      </w:r>
      <w:r w:rsidRPr="00ED58C0">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 xml:space="preserve">6.0 </w:t>
      </w:r>
      <w:r w:rsidRPr="00ED58C0">
        <w:rPr>
          <w:rFonts w:ascii="Palatino Linotype" w:eastAsia="Times New Roman" w:hAnsi="Palatino Linotype"/>
          <w:bCs/>
          <w:sz w:val="22"/>
          <w:szCs w:val="22"/>
          <w:lang w:val="en-US" w:eastAsia="en-GB"/>
        </w:rPr>
        <w:t>per cent)</w:t>
      </w:r>
      <w:r>
        <w:rPr>
          <w:rFonts w:ascii="Palatino Linotype" w:eastAsia="Times New Roman" w:hAnsi="Palatino Linotype"/>
          <w:bCs/>
          <w:sz w:val="22"/>
          <w:szCs w:val="22"/>
          <w:lang w:val="en-US" w:eastAsia="en-GB"/>
        </w:rPr>
        <w:t>,</w:t>
      </w:r>
      <w:r w:rsidRPr="00ED58C0">
        <w:rPr>
          <w:rFonts w:ascii="Palatino Linotype" w:eastAsia="Times New Roman" w:hAnsi="Palatino Linotype"/>
          <w:bCs/>
          <w:sz w:val="22"/>
          <w:szCs w:val="22"/>
          <w:lang w:val="en-US" w:eastAsia="en-GB"/>
        </w:rPr>
        <w:t xml:space="preserve"> followed by </w:t>
      </w:r>
      <w:r w:rsidRPr="00467793">
        <w:rPr>
          <w:rFonts w:ascii="Palatino Linotype" w:eastAsia="Times New Roman" w:hAnsi="Palatino Linotype"/>
          <w:bCs/>
          <w:sz w:val="22"/>
          <w:szCs w:val="22"/>
          <w:lang w:val="en-US" w:eastAsia="en-GB"/>
        </w:rPr>
        <w:t>Russian Traded</w:t>
      </w:r>
      <w:r>
        <w:rPr>
          <w:rFonts w:ascii="Palatino Linotype" w:eastAsia="Times New Roman" w:hAnsi="Palatino Linotype"/>
          <w:bCs/>
          <w:sz w:val="22"/>
          <w:szCs w:val="22"/>
          <w:lang w:val="en-US" w:eastAsia="en-GB"/>
        </w:rPr>
        <w:t xml:space="preserve"> (5</w:t>
      </w:r>
      <w:r w:rsidRPr="00467793">
        <w:rPr>
          <w:rFonts w:ascii="Palatino Linotype" w:eastAsia="Times New Roman" w:hAnsi="Palatino Linotype"/>
          <w:bCs/>
          <w:sz w:val="22"/>
          <w:szCs w:val="22"/>
          <w:lang w:val="en-US" w:eastAsia="en-GB"/>
        </w:rPr>
        <w:t>.4</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per cent</w:t>
      </w:r>
      <w:r>
        <w:rPr>
          <w:rFonts w:ascii="Palatino Linotype" w:eastAsia="Times New Roman" w:hAnsi="Palatino Linotype"/>
          <w:bCs/>
          <w:sz w:val="22"/>
          <w:szCs w:val="22"/>
          <w:lang w:val="en-US" w:eastAsia="en-GB"/>
        </w:rPr>
        <w:t xml:space="preserve">). India’s </w:t>
      </w:r>
      <w:r w:rsidRPr="0097439B">
        <w:rPr>
          <w:rFonts w:ascii="Palatino Linotype" w:eastAsia="Times New Roman" w:hAnsi="Palatino Linotype"/>
          <w:bCs/>
          <w:sz w:val="22"/>
          <w:szCs w:val="22"/>
          <w:lang w:val="en-US" w:eastAsia="en-GB"/>
        </w:rPr>
        <w:t>Nifty 50</w:t>
      </w:r>
      <w:r w:rsidRPr="00ED58C0">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 xml:space="preserve">increased by 1.1 </w:t>
      </w:r>
      <w:r w:rsidRPr="00ED58C0">
        <w:rPr>
          <w:rFonts w:ascii="Palatino Linotype" w:eastAsia="Times New Roman" w:hAnsi="Palatino Linotype"/>
          <w:bCs/>
          <w:sz w:val="22"/>
          <w:szCs w:val="22"/>
          <w:lang w:val="en-US" w:eastAsia="en-GB"/>
        </w:rPr>
        <w:t>per cent</w:t>
      </w:r>
      <w:r>
        <w:rPr>
          <w:rFonts w:ascii="Palatino Linotype" w:eastAsia="Times New Roman" w:hAnsi="Palatino Linotype"/>
          <w:bCs/>
          <w:sz w:val="22"/>
          <w:szCs w:val="22"/>
          <w:lang w:val="en-US" w:eastAsia="en-GB"/>
        </w:rPr>
        <w:t xml:space="preserve"> and Sensex increased by 0.8 </w:t>
      </w:r>
      <w:r w:rsidRPr="00ED58C0">
        <w:rPr>
          <w:rFonts w:ascii="Palatino Linotype" w:eastAsia="Times New Roman" w:hAnsi="Palatino Linotype"/>
          <w:bCs/>
          <w:sz w:val="22"/>
          <w:szCs w:val="22"/>
          <w:lang w:val="en-US" w:eastAsia="en-GB"/>
        </w:rPr>
        <w:t>per cent</w:t>
      </w:r>
      <w:r>
        <w:rPr>
          <w:rFonts w:ascii="Palatino Linotype" w:eastAsia="Times New Roman" w:hAnsi="Palatino Linotype"/>
          <w:bCs/>
          <w:sz w:val="22"/>
          <w:szCs w:val="22"/>
          <w:lang w:val="en-US" w:eastAsia="en-GB"/>
        </w:rPr>
        <w:t xml:space="preserve"> whereas</w:t>
      </w:r>
      <w:r w:rsidRPr="00853856">
        <w:rPr>
          <w:rFonts w:ascii="Palatino Linotype" w:eastAsia="Times New Roman" w:hAnsi="Palatino Linotype"/>
          <w:bCs/>
          <w:sz w:val="22"/>
          <w:szCs w:val="22"/>
          <w:lang w:val="en-US" w:eastAsia="en-GB"/>
        </w:rPr>
        <w:t>South Africa FTSE</w:t>
      </w:r>
      <w:r w:rsidRPr="00ED58C0">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increased by 0.5</w:t>
      </w:r>
      <w:r w:rsidRPr="00ED58C0">
        <w:rPr>
          <w:rFonts w:ascii="Palatino Linotype" w:eastAsia="Times New Roman" w:hAnsi="Palatino Linotype"/>
          <w:bCs/>
          <w:sz w:val="22"/>
          <w:szCs w:val="22"/>
          <w:lang w:val="en-US" w:eastAsia="en-GB"/>
        </w:rPr>
        <w:t xml:space="preserve"> per cen</w:t>
      </w:r>
      <w:r>
        <w:rPr>
          <w:rFonts w:ascii="Palatino Linotype" w:eastAsia="Times New Roman" w:hAnsi="Palatino Linotype"/>
          <w:bCs/>
          <w:sz w:val="22"/>
          <w:szCs w:val="22"/>
          <w:lang w:val="en-US" w:eastAsia="en-GB"/>
        </w:rPr>
        <w:t xml:space="preserve"> over the previous month</w:t>
      </w:r>
      <w:r w:rsidRPr="00ED58C0">
        <w:rPr>
          <w:rFonts w:ascii="Palatino Linotype" w:eastAsia="Times New Roman" w:hAnsi="Palatino Linotype"/>
          <w:bCs/>
          <w:sz w:val="22"/>
          <w:szCs w:val="22"/>
          <w:lang w:val="en-US" w:eastAsia="en-GB"/>
        </w:rPr>
        <w:t>)</w:t>
      </w:r>
      <w:r w:rsidRPr="00467793">
        <w:rPr>
          <w:rFonts w:ascii="Palatino Linotype" w:eastAsia="Times New Roman" w:hAnsi="Palatino Linotype"/>
          <w:bCs/>
          <w:sz w:val="22"/>
          <w:szCs w:val="22"/>
          <w:lang w:val="en-US" w:eastAsia="en-GB"/>
        </w:rPr>
        <w:t>.</w:t>
      </w:r>
      <w:r w:rsidRPr="00ED58C0">
        <w:rPr>
          <w:rFonts w:ascii="Palatino Linotype" w:eastAsia="Times New Roman" w:hAnsi="Palatino Linotype"/>
          <w:bCs/>
          <w:sz w:val="22"/>
          <w:szCs w:val="22"/>
          <w:lang w:val="en-US" w:eastAsia="en-GB"/>
        </w:rPr>
        <w:t xml:space="preserve"> However, a decrease was observed for Shanghai Composite</w:t>
      </w:r>
      <w:r>
        <w:rPr>
          <w:rFonts w:ascii="Palatino Linotype" w:eastAsia="Times New Roman" w:hAnsi="Palatino Linotype"/>
          <w:bCs/>
          <w:sz w:val="22"/>
          <w:szCs w:val="22"/>
          <w:lang w:val="en-US" w:eastAsia="en-GB"/>
        </w:rPr>
        <w:t xml:space="preserve">  of1.9</w:t>
      </w:r>
      <w:r w:rsidRPr="00ED58C0">
        <w:rPr>
          <w:rFonts w:ascii="Palatino Linotype" w:eastAsia="Times New Roman" w:hAnsi="Palatino Linotype"/>
          <w:bCs/>
          <w:sz w:val="22"/>
          <w:szCs w:val="22"/>
          <w:lang w:val="en-US" w:eastAsia="en-GB"/>
        </w:rPr>
        <w:t xml:space="preserve"> per cent. </w:t>
      </w:r>
    </w:p>
    <w:p w:rsidR="00A12A17" w:rsidRPr="00ED58C0" w:rsidRDefault="00A12A17" w:rsidP="00A12A17">
      <w:pPr>
        <w:spacing w:line="276" w:lineRule="auto"/>
        <w:ind w:left="357"/>
        <w:jc w:val="both"/>
        <w:rPr>
          <w:rFonts w:ascii="Garamond" w:eastAsia="Times New Roman" w:hAnsi="Garamond"/>
          <w:bCs/>
          <w:color w:val="FF0000"/>
          <w:lang w:val="en-US" w:eastAsia="en-GB"/>
        </w:rPr>
      </w:pPr>
    </w:p>
    <w:p w:rsidR="00A12A17" w:rsidRPr="00460FD6" w:rsidRDefault="00A12A17" w:rsidP="00A12A17">
      <w:pPr>
        <w:numPr>
          <w:ilvl w:val="0"/>
          <w:numId w:val="8"/>
        </w:numPr>
        <w:spacing w:line="276" w:lineRule="auto"/>
        <w:contextualSpacing/>
        <w:jc w:val="both"/>
        <w:rPr>
          <w:rFonts w:ascii="Palatino Linotype" w:eastAsia="Times New Roman" w:hAnsi="Palatino Linotype"/>
          <w:bCs/>
          <w:sz w:val="22"/>
          <w:szCs w:val="22"/>
          <w:lang w:val="en-US" w:eastAsia="en-GB"/>
        </w:rPr>
      </w:pPr>
      <w:r w:rsidRPr="00ED58C0">
        <w:rPr>
          <w:rFonts w:ascii="Palatino Linotype" w:eastAsia="Times New Roman" w:hAnsi="Palatino Linotype"/>
          <w:bCs/>
          <w:sz w:val="22"/>
          <w:szCs w:val="22"/>
          <w:lang w:val="en-US" w:eastAsia="en-GB"/>
        </w:rPr>
        <w:t xml:space="preserve">Among the developed economies, in the month of </w:t>
      </w:r>
      <w:r>
        <w:rPr>
          <w:rFonts w:ascii="Palatino Linotype" w:eastAsia="Times New Roman" w:hAnsi="Palatino Linotype"/>
          <w:bCs/>
          <w:sz w:val="22"/>
          <w:szCs w:val="22"/>
          <w:lang w:val="en-US" w:eastAsia="en-GB"/>
        </w:rPr>
        <w:t>March</w:t>
      </w:r>
      <w:r w:rsidRPr="00ED58C0">
        <w:rPr>
          <w:rFonts w:ascii="Palatino Linotype" w:eastAsia="Times New Roman" w:hAnsi="Palatino Linotype"/>
          <w:bCs/>
          <w:sz w:val="22"/>
          <w:szCs w:val="22"/>
          <w:lang w:val="en-US" w:eastAsia="en-GB"/>
        </w:rPr>
        <w:t xml:space="preserve"> 2021, highest indices growth was observed for German DAX</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8.9</w:t>
      </w:r>
      <w:r w:rsidRPr="00ED58C0">
        <w:rPr>
          <w:rFonts w:ascii="Palatino Linotype" w:eastAsia="Times New Roman" w:hAnsi="Palatino Linotype"/>
          <w:bCs/>
          <w:sz w:val="22"/>
          <w:szCs w:val="22"/>
          <w:lang w:val="en-US" w:eastAsia="en-GB"/>
        </w:rPr>
        <w:t xml:space="preserve"> per cent) followed by Singapore STI</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w:t>
      </w:r>
      <w:r w:rsidRPr="00C40CE9">
        <w:rPr>
          <w:rFonts w:ascii="Palatino Linotype" w:eastAsia="Times New Roman" w:hAnsi="Palatino Linotype"/>
          <w:bCs/>
          <w:sz w:val="22"/>
          <w:szCs w:val="22"/>
          <w:lang w:val="en-US" w:eastAsia="en-GB"/>
        </w:rPr>
        <w:t>7.3</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 xml:space="preserve">per cent). </w:t>
      </w:r>
      <w:r>
        <w:rPr>
          <w:rFonts w:ascii="Palatino Linotype" w:eastAsia="Times New Roman" w:hAnsi="Palatino Linotype"/>
          <w:bCs/>
          <w:sz w:val="22"/>
          <w:szCs w:val="22"/>
          <w:lang w:val="en-US" w:eastAsia="en-GB"/>
        </w:rPr>
        <w:t xml:space="preserve">A decrease in </w:t>
      </w:r>
      <w:r w:rsidRPr="00ED58C0">
        <w:rPr>
          <w:rFonts w:ascii="Palatino Linotype" w:eastAsia="Times New Roman" w:hAnsi="Palatino Linotype"/>
          <w:bCs/>
          <w:sz w:val="22"/>
          <w:szCs w:val="22"/>
          <w:lang w:val="en-US" w:eastAsia="en-GB"/>
        </w:rPr>
        <w:t>monthly growth was observed in</w:t>
      </w:r>
      <w:r w:rsidRPr="00B16BAD">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Hong Kong HANG SENG (</w:t>
      </w:r>
      <w:r>
        <w:rPr>
          <w:rFonts w:ascii="Palatino Linotype" w:eastAsia="Times New Roman" w:hAnsi="Palatino Linotype"/>
          <w:bCs/>
          <w:sz w:val="22"/>
          <w:szCs w:val="22"/>
          <w:lang w:val="en-US" w:eastAsia="en-GB"/>
        </w:rPr>
        <w:t>2.1</w:t>
      </w:r>
      <w:r w:rsidRPr="00ED58C0">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 xml:space="preserve">followed by </w:t>
      </w:r>
      <w:r>
        <w:rPr>
          <w:rFonts w:ascii="Palatino Linotype" w:eastAsia="Times New Roman" w:hAnsi="Palatino Linotype"/>
          <w:bCs/>
          <w:sz w:val="22"/>
          <w:szCs w:val="22"/>
          <w:lang w:val="en-US" w:eastAsia="en-GB"/>
        </w:rPr>
        <w:t xml:space="preserve">slight growth at </w:t>
      </w:r>
      <w:r w:rsidRPr="00ED58C0">
        <w:rPr>
          <w:rFonts w:ascii="Palatino Linotype" w:eastAsia="Times New Roman" w:hAnsi="Palatino Linotype"/>
          <w:bCs/>
          <w:sz w:val="22"/>
          <w:szCs w:val="22"/>
          <w:lang w:val="en-US" w:eastAsia="en-GB"/>
        </w:rPr>
        <w:t>Nasdaq COMPOSITE</w:t>
      </w:r>
      <w:r>
        <w:rPr>
          <w:rFonts w:ascii="Palatino Linotype" w:eastAsia="Times New Roman" w:hAnsi="Palatino Linotype"/>
          <w:bCs/>
          <w:sz w:val="22"/>
          <w:szCs w:val="22"/>
          <w:lang w:val="en-US" w:eastAsia="en-GB"/>
        </w:rPr>
        <w:t xml:space="preserve"> (0.4</w:t>
      </w:r>
      <w:r w:rsidRPr="00ED58C0">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and</w:t>
      </w:r>
      <w:r w:rsidRPr="00ED58C0">
        <w:rPr>
          <w:rFonts w:ascii="Palatino Linotype" w:eastAsia="Times New Roman" w:hAnsi="Palatino Linotype"/>
          <w:bCs/>
          <w:sz w:val="22"/>
          <w:szCs w:val="22"/>
          <w:lang w:val="en-US" w:eastAsia="en-GB"/>
        </w:rPr>
        <w:t xml:space="preserve"> Japan Nikkei </w:t>
      </w:r>
      <w:r>
        <w:rPr>
          <w:rFonts w:ascii="Palatino Linotype" w:eastAsia="Times New Roman" w:hAnsi="Palatino Linotype"/>
          <w:bCs/>
          <w:sz w:val="22"/>
          <w:szCs w:val="22"/>
          <w:lang w:val="en-US" w:eastAsia="en-GB"/>
        </w:rPr>
        <w:t>(0.7</w:t>
      </w:r>
      <w:r w:rsidRPr="00ED58C0">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 xml:space="preserve">Growth </w:t>
      </w:r>
      <w:r>
        <w:rPr>
          <w:rFonts w:ascii="Palatino Linotype" w:eastAsia="Times New Roman" w:hAnsi="Palatino Linotype"/>
          <w:bCs/>
          <w:sz w:val="22"/>
          <w:szCs w:val="22"/>
          <w:lang w:val="en-US" w:eastAsia="en-GB"/>
        </w:rPr>
        <w:t xml:space="preserve">in </w:t>
      </w:r>
      <w:r w:rsidRPr="00ED58C0">
        <w:rPr>
          <w:rFonts w:ascii="Palatino Linotype" w:eastAsia="Times New Roman" w:hAnsi="Palatino Linotype"/>
          <w:bCs/>
          <w:sz w:val="22"/>
          <w:szCs w:val="22"/>
          <w:lang w:val="en-US" w:eastAsia="en-GB"/>
        </w:rPr>
        <w:t>UK FTSE 100</w:t>
      </w:r>
      <w:r>
        <w:rPr>
          <w:rFonts w:ascii="Palatino Linotype" w:eastAsia="Times New Roman" w:hAnsi="Palatino Linotype"/>
          <w:bCs/>
          <w:sz w:val="22"/>
          <w:szCs w:val="22"/>
          <w:lang w:val="en-US" w:eastAsia="en-GB"/>
        </w:rPr>
        <w:t>, South Korea KOSPI,</w:t>
      </w:r>
      <w:r w:rsidRPr="00ED58C0">
        <w:rPr>
          <w:rFonts w:ascii="Palatino Linotype" w:eastAsia="Times New Roman" w:hAnsi="Palatino Linotype"/>
          <w:bCs/>
          <w:sz w:val="22"/>
          <w:szCs w:val="22"/>
          <w:lang w:val="en-US" w:eastAsia="en-GB"/>
        </w:rPr>
        <w:t xml:space="preserve"> and France CAC 40</w:t>
      </w:r>
      <w:r w:rsidRPr="00675AF0">
        <w:rPr>
          <w:rFonts w:ascii="Palatino Linotype" w:eastAsia="Times New Roman" w:hAnsi="Palatino Linotype"/>
          <w:bCs/>
          <w:sz w:val="22"/>
          <w:szCs w:val="22"/>
          <w:lang w:val="en-US" w:eastAsia="en-GB"/>
        </w:rPr>
        <w:t xml:space="preserve"> </w:t>
      </w:r>
      <w:r w:rsidRPr="00ED58C0">
        <w:rPr>
          <w:rFonts w:ascii="Palatino Linotype" w:eastAsia="Times New Roman" w:hAnsi="Palatino Linotype"/>
          <w:bCs/>
          <w:sz w:val="22"/>
          <w:szCs w:val="22"/>
          <w:lang w:val="en-US" w:eastAsia="en-GB"/>
        </w:rPr>
        <w:t xml:space="preserve">were </w:t>
      </w:r>
      <w:r>
        <w:rPr>
          <w:rFonts w:ascii="Palatino Linotype" w:eastAsia="Times New Roman" w:hAnsi="Palatino Linotype"/>
          <w:bCs/>
          <w:sz w:val="22"/>
          <w:szCs w:val="22"/>
          <w:lang w:val="en-US" w:eastAsia="en-GB"/>
        </w:rPr>
        <w:t>3.6</w:t>
      </w:r>
      <w:r w:rsidRPr="00ED58C0">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 xml:space="preserve">1.6 </w:t>
      </w:r>
      <w:r w:rsidRPr="00ED58C0">
        <w:rPr>
          <w:rFonts w:ascii="Palatino Linotype" w:eastAsia="Times New Roman" w:hAnsi="Palatino Linotype"/>
          <w:bCs/>
          <w:sz w:val="22"/>
          <w:szCs w:val="22"/>
          <w:lang w:val="en-US" w:eastAsia="en-GB"/>
        </w:rPr>
        <w:t xml:space="preserve">and </w:t>
      </w:r>
      <w:r>
        <w:rPr>
          <w:rFonts w:ascii="Palatino Linotype" w:eastAsia="Times New Roman" w:hAnsi="Palatino Linotype"/>
          <w:bCs/>
          <w:sz w:val="22"/>
          <w:szCs w:val="22"/>
          <w:lang w:val="en-US" w:eastAsia="en-GB"/>
        </w:rPr>
        <w:t>6.4</w:t>
      </w:r>
      <w:r w:rsidRPr="00ED58C0">
        <w:rPr>
          <w:rFonts w:ascii="Palatino Linotype" w:eastAsia="Times New Roman" w:hAnsi="Palatino Linotype"/>
          <w:bCs/>
          <w:sz w:val="22"/>
          <w:szCs w:val="22"/>
          <w:lang w:val="en-US" w:eastAsia="en-GB"/>
        </w:rPr>
        <w:t xml:space="preserve"> per cent respectively</w:t>
      </w:r>
      <w:r>
        <w:rPr>
          <w:rFonts w:ascii="Palatino Linotype" w:eastAsia="Times New Roman" w:hAnsi="Palatino Linotype"/>
          <w:bCs/>
          <w:sz w:val="22"/>
          <w:szCs w:val="22"/>
          <w:lang w:val="en-US" w:eastAsia="en-GB"/>
        </w:rPr>
        <w:t xml:space="preserve"> over the previous month.</w:t>
      </w:r>
      <w:r w:rsidRPr="00675AF0">
        <w:rPr>
          <w:rFonts w:ascii="Palatino Linotype" w:eastAsia="Times New Roman" w:hAnsi="Palatino Linotype"/>
          <w:bCs/>
          <w:sz w:val="22"/>
          <w:szCs w:val="22"/>
          <w:lang w:val="en-US" w:eastAsia="en-GB"/>
        </w:rPr>
        <w:t xml:space="preserve"> </w:t>
      </w:r>
    </w:p>
    <w:p w:rsidR="00A12A17" w:rsidRDefault="00A12A17" w:rsidP="00A12A17">
      <w:pPr>
        <w:spacing w:line="23" w:lineRule="atLeast"/>
        <w:jc w:val="both"/>
        <w:outlineLvl w:val="0"/>
        <w:rPr>
          <w:rFonts w:ascii="Garamond" w:hAnsi="Garamond"/>
          <w:b/>
          <w:bCs/>
          <w:noProof/>
          <w:lang w:val="en-US"/>
        </w:rPr>
      </w:pPr>
    </w:p>
    <w:p w:rsidR="00A12A17" w:rsidRPr="002622E2" w:rsidRDefault="00A12A17" w:rsidP="00A12A17">
      <w:pPr>
        <w:spacing w:line="23" w:lineRule="atLeast"/>
        <w:jc w:val="both"/>
        <w:outlineLvl w:val="0"/>
        <w:rPr>
          <w:rFonts w:ascii="Garamond" w:hAnsi="Garamond"/>
          <w:b/>
          <w:bCs/>
          <w:szCs w:val="22"/>
        </w:rPr>
      </w:pPr>
      <w:r w:rsidRPr="002622E2">
        <w:rPr>
          <w:rFonts w:ascii="Garamond" w:hAnsi="Garamond"/>
          <w:b/>
          <w:bCs/>
          <w:noProof/>
          <w:lang w:val="en-US"/>
        </w:rPr>
        <w:t>Figure</w:t>
      </w:r>
      <w:r w:rsidRPr="002622E2">
        <w:rPr>
          <w:rFonts w:ascii="Garamond" w:hAnsi="Garamond"/>
          <w:b/>
          <w:bCs/>
          <w:szCs w:val="22"/>
        </w:rPr>
        <w:t xml:space="preserve"> 1: Stock Market Trends in Selected Developed Markets</w:t>
      </w:r>
    </w:p>
    <w:p w:rsidR="00A12A17" w:rsidRPr="002622E2" w:rsidRDefault="00A12A17" w:rsidP="00A12A17">
      <w:pPr>
        <w:spacing w:line="23" w:lineRule="atLeast"/>
        <w:jc w:val="both"/>
        <w:outlineLvl w:val="0"/>
        <w:rPr>
          <w:rFonts w:ascii="Garamond" w:hAnsi="Garamond"/>
          <w:bCs/>
          <w:sz w:val="22"/>
          <w:szCs w:val="22"/>
        </w:rPr>
      </w:pPr>
      <w:r w:rsidRPr="00797A8B">
        <w:rPr>
          <w:rFonts w:ascii="Garamond" w:hAnsi="Garamond"/>
          <w:bCs/>
          <w:noProof/>
          <w:sz w:val="22"/>
          <w:szCs w:val="22"/>
          <w:lang w:val="en-IN" w:eastAsia="en-IN" w:bidi="hi-IN"/>
        </w:rPr>
        <w:drawing>
          <wp:inline distT="0" distB="0" distL="0" distR="0">
            <wp:extent cx="6191250" cy="39909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91250" cy="3990975"/>
                    </a:xfrm>
                    <a:prstGeom prst="rect">
                      <a:avLst/>
                    </a:prstGeom>
                    <a:noFill/>
                    <a:ln>
                      <a:noFill/>
                    </a:ln>
                  </pic:spPr>
                </pic:pic>
              </a:graphicData>
            </a:graphic>
          </wp:inline>
        </w:drawing>
      </w:r>
    </w:p>
    <w:p w:rsidR="00A12A17" w:rsidRPr="002622E2" w:rsidRDefault="00A12A17" w:rsidP="00A12A17">
      <w:pPr>
        <w:spacing w:line="23" w:lineRule="atLeast"/>
        <w:jc w:val="both"/>
        <w:outlineLvl w:val="0"/>
        <w:rPr>
          <w:rFonts w:ascii="Garamond" w:hAnsi="Garamond"/>
          <w:bCs/>
          <w:sz w:val="18"/>
          <w:szCs w:val="18"/>
        </w:rPr>
      </w:pPr>
      <w:r w:rsidRPr="002622E2">
        <w:rPr>
          <w:rFonts w:ascii="Garamond" w:hAnsi="Garamond"/>
          <w:bCs/>
          <w:sz w:val="18"/>
          <w:szCs w:val="18"/>
        </w:rPr>
        <w:t xml:space="preserve">Note: All indices have been </w:t>
      </w:r>
      <w:r>
        <w:rPr>
          <w:rFonts w:ascii="Garamond" w:hAnsi="Garamond"/>
          <w:bCs/>
          <w:sz w:val="18"/>
          <w:szCs w:val="18"/>
        </w:rPr>
        <w:t>normalised to 100 on 31 March 2020</w:t>
      </w:r>
      <w:r w:rsidRPr="002622E2">
        <w:rPr>
          <w:rFonts w:ascii="Garamond" w:hAnsi="Garamond"/>
          <w:bCs/>
          <w:sz w:val="18"/>
          <w:szCs w:val="18"/>
        </w:rPr>
        <w:t>.</w:t>
      </w:r>
    </w:p>
    <w:p w:rsidR="00A12A17" w:rsidRPr="002622E2" w:rsidRDefault="00A12A17" w:rsidP="00A12A17">
      <w:pPr>
        <w:spacing w:line="23" w:lineRule="atLeast"/>
        <w:jc w:val="both"/>
        <w:outlineLvl w:val="0"/>
        <w:rPr>
          <w:rFonts w:ascii="Garamond" w:hAnsi="Garamond"/>
          <w:bCs/>
          <w:sz w:val="18"/>
          <w:szCs w:val="18"/>
        </w:rPr>
      </w:pPr>
      <w:r w:rsidRPr="002622E2">
        <w:rPr>
          <w:rFonts w:ascii="Garamond" w:hAnsi="Garamond"/>
          <w:bCs/>
          <w:sz w:val="18"/>
          <w:szCs w:val="18"/>
        </w:rPr>
        <w:t>Source: Refinitiv</w:t>
      </w:r>
    </w:p>
    <w:p w:rsidR="00A12A17" w:rsidRPr="00073FE2" w:rsidRDefault="00A12A17" w:rsidP="00A12A17">
      <w:pPr>
        <w:spacing w:line="23" w:lineRule="atLeast"/>
        <w:rPr>
          <w:rFonts w:ascii="Garamond" w:hAnsi="Garamond"/>
          <w:bCs/>
          <w:strike/>
          <w:sz w:val="22"/>
          <w:szCs w:val="22"/>
        </w:rPr>
      </w:pPr>
    </w:p>
    <w:p w:rsidR="00A12A17" w:rsidRPr="002622E2" w:rsidRDefault="00A12A17" w:rsidP="00A12A17">
      <w:pPr>
        <w:spacing w:line="23" w:lineRule="atLeast"/>
        <w:rPr>
          <w:rFonts w:ascii="Garamond" w:hAnsi="Garamond"/>
          <w:b/>
          <w:bCs/>
          <w:szCs w:val="22"/>
        </w:rPr>
      </w:pPr>
    </w:p>
    <w:p w:rsidR="00A12A17" w:rsidRDefault="00A12A17" w:rsidP="00A12A17">
      <w:pPr>
        <w:rPr>
          <w:rFonts w:ascii="Garamond" w:hAnsi="Garamond"/>
          <w:b/>
          <w:bCs/>
          <w:szCs w:val="22"/>
        </w:rPr>
      </w:pPr>
      <w:r>
        <w:rPr>
          <w:rFonts w:ascii="Garamond" w:hAnsi="Garamond"/>
          <w:b/>
          <w:bCs/>
          <w:szCs w:val="22"/>
        </w:rPr>
        <w:br w:type="page"/>
      </w:r>
    </w:p>
    <w:p w:rsidR="00A12A17" w:rsidRPr="002622E2" w:rsidRDefault="00A12A17" w:rsidP="00A12A17">
      <w:pPr>
        <w:spacing w:line="23" w:lineRule="atLeast"/>
        <w:rPr>
          <w:rFonts w:ascii="Garamond" w:hAnsi="Garamond"/>
          <w:b/>
          <w:bCs/>
          <w:szCs w:val="22"/>
        </w:rPr>
      </w:pPr>
      <w:r w:rsidRPr="002622E2">
        <w:rPr>
          <w:rFonts w:ascii="Garamond" w:hAnsi="Garamond"/>
          <w:b/>
          <w:bCs/>
          <w:szCs w:val="22"/>
        </w:rPr>
        <w:t>Figure 2: Stock Market Trends in Selected Emerging Markets</w:t>
      </w:r>
    </w:p>
    <w:p w:rsidR="00A12A17" w:rsidRPr="002622E2" w:rsidRDefault="00A12A17" w:rsidP="00A12A17">
      <w:pPr>
        <w:spacing w:line="23" w:lineRule="atLeast"/>
        <w:rPr>
          <w:rFonts w:ascii="Garamond" w:hAnsi="Garamond"/>
          <w:bCs/>
          <w:sz w:val="22"/>
          <w:szCs w:val="22"/>
        </w:rPr>
      </w:pPr>
      <w:r w:rsidRPr="00797A8B">
        <w:rPr>
          <w:rFonts w:ascii="Garamond" w:hAnsi="Garamond"/>
          <w:bCs/>
          <w:noProof/>
          <w:sz w:val="22"/>
          <w:szCs w:val="22"/>
          <w:lang w:val="en-IN" w:eastAsia="en-IN" w:bidi="hi-IN"/>
        </w:rPr>
        <w:drawing>
          <wp:inline distT="0" distB="0" distL="0" distR="0">
            <wp:extent cx="6048375" cy="39052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48375" cy="3905250"/>
                    </a:xfrm>
                    <a:prstGeom prst="rect">
                      <a:avLst/>
                    </a:prstGeom>
                    <a:noFill/>
                    <a:ln>
                      <a:noFill/>
                    </a:ln>
                  </pic:spPr>
                </pic:pic>
              </a:graphicData>
            </a:graphic>
          </wp:inline>
        </w:drawing>
      </w:r>
    </w:p>
    <w:p w:rsidR="00A12A17" w:rsidRPr="002622E2" w:rsidRDefault="00A12A17" w:rsidP="00A12A17">
      <w:pPr>
        <w:spacing w:line="23" w:lineRule="atLeast"/>
        <w:jc w:val="both"/>
        <w:outlineLvl w:val="0"/>
        <w:rPr>
          <w:rFonts w:ascii="Garamond" w:hAnsi="Garamond"/>
          <w:bCs/>
          <w:sz w:val="18"/>
          <w:szCs w:val="18"/>
        </w:rPr>
      </w:pPr>
      <w:r w:rsidRPr="002622E2">
        <w:rPr>
          <w:rFonts w:ascii="Garamond" w:hAnsi="Garamond"/>
          <w:bCs/>
          <w:sz w:val="18"/>
          <w:szCs w:val="18"/>
        </w:rPr>
        <w:t xml:space="preserve">Note: All indices have been </w:t>
      </w:r>
      <w:r>
        <w:rPr>
          <w:rFonts w:ascii="Garamond" w:hAnsi="Garamond"/>
          <w:bCs/>
          <w:sz w:val="18"/>
          <w:szCs w:val="18"/>
        </w:rPr>
        <w:t>normalised to 100 on 31 March 2020</w:t>
      </w:r>
      <w:r w:rsidRPr="002622E2">
        <w:rPr>
          <w:rFonts w:ascii="Garamond" w:hAnsi="Garamond"/>
          <w:bCs/>
          <w:sz w:val="18"/>
          <w:szCs w:val="18"/>
        </w:rPr>
        <w:t>.</w:t>
      </w:r>
    </w:p>
    <w:p w:rsidR="00A12A17" w:rsidRPr="0066149F" w:rsidRDefault="00A12A17" w:rsidP="00A12A17">
      <w:pPr>
        <w:spacing w:line="23" w:lineRule="atLeast"/>
        <w:jc w:val="both"/>
        <w:outlineLvl w:val="0"/>
        <w:rPr>
          <w:rFonts w:ascii="Garamond" w:eastAsia="Times New Roman" w:hAnsi="Garamond"/>
          <w:b/>
          <w:szCs w:val="22"/>
          <w:u w:val="single"/>
          <w:lang w:val="en-US" w:eastAsia="en-GB"/>
        </w:rPr>
      </w:pPr>
      <w:r w:rsidRPr="002622E2">
        <w:rPr>
          <w:rFonts w:ascii="Garamond" w:hAnsi="Garamond"/>
          <w:bCs/>
          <w:sz w:val="18"/>
          <w:szCs w:val="18"/>
        </w:rPr>
        <w:t>Source: Refinitiv</w:t>
      </w:r>
    </w:p>
    <w:p w:rsidR="00A12A17" w:rsidRPr="0066149F" w:rsidRDefault="00A12A17" w:rsidP="00A12A17">
      <w:pPr>
        <w:spacing w:line="360" w:lineRule="auto"/>
        <w:ind w:left="720"/>
        <w:contextualSpacing/>
        <w:rPr>
          <w:rFonts w:ascii="Garamond" w:eastAsia="Times New Roman" w:hAnsi="Garamond"/>
          <w:b/>
          <w:szCs w:val="22"/>
          <w:u w:val="single"/>
          <w:lang w:val="en-US" w:eastAsia="en-GB"/>
        </w:rPr>
      </w:pPr>
    </w:p>
    <w:p w:rsidR="00A12A17" w:rsidRPr="0066149F" w:rsidRDefault="00A12A17" w:rsidP="00A12A17">
      <w:pPr>
        <w:spacing w:line="276" w:lineRule="auto"/>
        <w:ind w:left="720"/>
        <w:contextualSpacing/>
        <w:rPr>
          <w:rFonts w:ascii="Garamond" w:hAnsi="Garamond"/>
          <w:bCs/>
          <w:sz w:val="22"/>
          <w:szCs w:val="22"/>
          <w:lang w:val="en-US"/>
        </w:rPr>
      </w:pPr>
      <w:r w:rsidRPr="0066149F">
        <w:rPr>
          <w:rFonts w:ascii="Garamond" w:eastAsia="Times New Roman" w:hAnsi="Garamond"/>
          <w:b/>
          <w:sz w:val="22"/>
          <w:szCs w:val="22"/>
          <w:u w:val="single"/>
          <w:lang w:val="en-US" w:eastAsia="en-GB"/>
        </w:rPr>
        <w:t>BOND Market (Figures 3-4)</w:t>
      </w:r>
    </w:p>
    <w:p w:rsidR="00A12A17" w:rsidRPr="0066149F" w:rsidRDefault="00A12A17" w:rsidP="00A12A17">
      <w:pPr>
        <w:numPr>
          <w:ilvl w:val="0"/>
          <w:numId w:val="8"/>
        </w:numPr>
        <w:spacing w:line="276" w:lineRule="auto"/>
        <w:contextualSpacing/>
        <w:jc w:val="both"/>
        <w:rPr>
          <w:rFonts w:ascii="Palatino Linotype" w:hAnsi="Palatino Linotype"/>
          <w:bCs/>
          <w:color w:val="FF0000"/>
          <w:sz w:val="22"/>
          <w:szCs w:val="22"/>
          <w:lang w:val="en-US"/>
        </w:rPr>
      </w:pPr>
      <w:r w:rsidRPr="0066149F">
        <w:rPr>
          <w:rFonts w:ascii="Palatino Linotype" w:eastAsia="Times New Roman" w:hAnsi="Palatino Linotype"/>
          <w:bCs/>
          <w:color w:val="000000"/>
          <w:sz w:val="22"/>
          <w:szCs w:val="22"/>
          <w:lang w:val="en-US" w:eastAsia="en-GB"/>
        </w:rPr>
        <w:t>Among the countries analysed</w:t>
      </w:r>
      <w:r w:rsidRPr="0066149F">
        <w:rPr>
          <w:rFonts w:ascii="Palatino Linotype" w:eastAsia="Times New Roman" w:hAnsi="Palatino Linotype"/>
          <w:bCs/>
          <w:color w:val="000000"/>
          <w:sz w:val="22"/>
          <w:szCs w:val="22"/>
          <w:vertAlign w:val="superscript"/>
          <w:lang w:val="en-US" w:eastAsia="en-GB"/>
        </w:rPr>
        <w:footnoteReference w:id="4"/>
      </w:r>
      <w:r w:rsidRPr="0066149F">
        <w:rPr>
          <w:rFonts w:ascii="Palatino Linotype" w:eastAsia="Times New Roman" w:hAnsi="Palatino Linotype"/>
          <w:bCs/>
          <w:color w:val="000000"/>
          <w:sz w:val="22"/>
          <w:szCs w:val="22"/>
          <w:lang w:val="en-US" w:eastAsia="en-GB"/>
        </w:rPr>
        <w:t xml:space="preserve">, for bond yield, 10-year bond yield in </w:t>
      </w:r>
      <w:r>
        <w:rPr>
          <w:rFonts w:ascii="Palatino Linotype" w:eastAsia="Times New Roman" w:hAnsi="Palatino Linotype"/>
          <w:bCs/>
          <w:color w:val="000000"/>
          <w:sz w:val="22"/>
          <w:szCs w:val="22"/>
          <w:lang w:val="en-US" w:eastAsia="en-GB"/>
        </w:rPr>
        <w:t>March</w:t>
      </w:r>
      <w:r w:rsidRPr="0066149F">
        <w:rPr>
          <w:rFonts w:ascii="Palatino Linotype" w:eastAsia="Times New Roman" w:hAnsi="Palatino Linotype"/>
          <w:bCs/>
          <w:color w:val="000000"/>
          <w:sz w:val="22"/>
          <w:szCs w:val="22"/>
          <w:lang w:val="en-US" w:eastAsia="en-GB"/>
        </w:rPr>
        <w:t xml:space="preserve"> 2021</w:t>
      </w:r>
      <w:r>
        <w:rPr>
          <w:rFonts w:ascii="Palatino Linotype" w:eastAsia="Times New Roman" w:hAnsi="Palatino Linotype"/>
          <w:bCs/>
          <w:color w:val="000000"/>
          <w:sz w:val="22"/>
          <w:szCs w:val="22"/>
          <w:lang w:val="en-US" w:eastAsia="en-GB"/>
        </w:rPr>
        <w:t xml:space="preserve">, </w:t>
      </w:r>
      <w:r w:rsidRPr="0066149F">
        <w:rPr>
          <w:rFonts w:ascii="Palatino Linotype" w:eastAsia="Times New Roman" w:hAnsi="Palatino Linotype"/>
          <w:bCs/>
          <w:color w:val="000000"/>
          <w:sz w:val="22"/>
          <w:szCs w:val="22"/>
          <w:lang w:val="en-US" w:eastAsia="en-GB"/>
        </w:rPr>
        <w:t xml:space="preserve">a </w:t>
      </w:r>
      <w:r>
        <w:rPr>
          <w:rFonts w:ascii="Palatino Linotype" w:eastAsia="Times New Roman" w:hAnsi="Palatino Linotype"/>
          <w:bCs/>
          <w:color w:val="000000"/>
          <w:sz w:val="22"/>
          <w:szCs w:val="22"/>
          <w:lang w:val="en-US" w:eastAsia="en-GB"/>
        </w:rPr>
        <w:t>negative</w:t>
      </w:r>
      <w:r w:rsidRPr="0066149F">
        <w:rPr>
          <w:rFonts w:ascii="Palatino Linotype" w:eastAsia="Times New Roman" w:hAnsi="Palatino Linotype"/>
          <w:bCs/>
          <w:color w:val="000000"/>
          <w:sz w:val="22"/>
          <w:szCs w:val="22"/>
          <w:lang w:val="en-US" w:eastAsia="en-GB"/>
        </w:rPr>
        <w:t xml:space="preserve"> change for most developed and developing economies (Chart 3 &amp; 4)</w:t>
      </w:r>
      <w:r>
        <w:rPr>
          <w:rFonts w:ascii="Palatino Linotype" w:eastAsia="Times New Roman" w:hAnsi="Palatino Linotype"/>
          <w:bCs/>
          <w:color w:val="000000"/>
          <w:sz w:val="22"/>
          <w:szCs w:val="22"/>
          <w:lang w:val="en-US" w:eastAsia="en-GB"/>
        </w:rPr>
        <w:t xml:space="preserve"> was observed</w:t>
      </w:r>
      <w:r w:rsidRPr="0066149F">
        <w:rPr>
          <w:rFonts w:ascii="Palatino Linotype" w:eastAsia="Times New Roman" w:hAnsi="Palatino Linotype"/>
          <w:bCs/>
          <w:color w:val="000000"/>
          <w:sz w:val="22"/>
          <w:szCs w:val="22"/>
          <w:lang w:val="en-US" w:eastAsia="en-GB"/>
        </w:rPr>
        <w:t>.</w:t>
      </w:r>
    </w:p>
    <w:p w:rsidR="00A12A17" w:rsidRPr="0066149F" w:rsidRDefault="00A12A17" w:rsidP="00A12A17">
      <w:pPr>
        <w:spacing w:line="23" w:lineRule="atLeast"/>
        <w:rPr>
          <w:rFonts w:ascii="Garamond" w:hAnsi="Garamond"/>
          <w:bCs/>
          <w:sz w:val="22"/>
          <w:szCs w:val="22"/>
        </w:rPr>
      </w:pPr>
    </w:p>
    <w:p w:rsidR="00A12A17" w:rsidRPr="004C4151" w:rsidRDefault="00A12A17" w:rsidP="00A12A17">
      <w:pPr>
        <w:rPr>
          <w:rFonts w:ascii="Garamond" w:hAnsi="Garamond"/>
          <w:b/>
          <w:bCs/>
          <w:szCs w:val="22"/>
        </w:rPr>
      </w:pPr>
      <w:r w:rsidRPr="004C4151">
        <w:rPr>
          <w:rFonts w:ascii="Garamond" w:hAnsi="Garamond"/>
          <w:b/>
          <w:bCs/>
          <w:szCs w:val="22"/>
        </w:rPr>
        <w:t>Figure 3: Movement of 10-year Government Bond Yields in Developed Nations</w:t>
      </w:r>
    </w:p>
    <w:p w:rsidR="00A12A17" w:rsidRPr="004C4151" w:rsidRDefault="00A12A17" w:rsidP="00A12A17">
      <w:pPr>
        <w:rPr>
          <w:rFonts w:ascii="Garamond" w:hAnsi="Garamond"/>
          <w:bCs/>
          <w:sz w:val="22"/>
          <w:szCs w:val="22"/>
        </w:rPr>
      </w:pPr>
    </w:p>
    <w:p w:rsidR="00A12A17" w:rsidRPr="004C4151" w:rsidRDefault="00A12A17" w:rsidP="00A12A17">
      <w:pPr>
        <w:spacing w:line="23" w:lineRule="atLeast"/>
        <w:jc w:val="both"/>
        <w:outlineLvl w:val="0"/>
        <w:rPr>
          <w:rFonts w:ascii="Garamond" w:hAnsi="Garamond"/>
          <w:bCs/>
          <w:sz w:val="22"/>
          <w:szCs w:val="22"/>
        </w:rPr>
      </w:pPr>
      <w:r w:rsidRPr="00797A8B">
        <w:rPr>
          <w:rFonts w:ascii="Garamond" w:hAnsi="Garamond"/>
          <w:bCs/>
          <w:noProof/>
          <w:sz w:val="22"/>
          <w:szCs w:val="22"/>
          <w:lang w:val="en-IN" w:eastAsia="en-IN" w:bidi="hi-IN"/>
        </w:rPr>
        <w:drawing>
          <wp:inline distT="0" distB="0" distL="0" distR="0">
            <wp:extent cx="6324600" cy="29241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24600" cy="2924175"/>
                    </a:xfrm>
                    <a:prstGeom prst="rect">
                      <a:avLst/>
                    </a:prstGeom>
                    <a:noFill/>
                    <a:ln>
                      <a:noFill/>
                    </a:ln>
                  </pic:spPr>
                </pic:pic>
              </a:graphicData>
            </a:graphic>
          </wp:inline>
        </w:drawing>
      </w:r>
    </w:p>
    <w:p w:rsidR="00A12A17" w:rsidRPr="004C4151" w:rsidRDefault="00A12A17" w:rsidP="00A12A17">
      <w:pPr>
        <w:spacing w:line="23" w:lineRule="atLeast"/>
        <w:jc w:val="both"/>
        <w:outlineLvl w:val="0"/>
        <w:rPr>
          <w:rFonts w:ascii="Garamond" w:hAnsi="Garamond"/>
          <w:bCs/>
          <w:sz w:val="18"/>
          <w:szCs w:val="18"/>
        </w:rPr>
      </w:pPr>
      <w:r w:rsidRPr="004C4151">
        <w:rPr>
          <w:rFonts w:ascii="Garamond" w:hAnsi="Garamond"/>
          <w:bCs/>
          <w:sz w:val="18"/>
          <w:szCs w:val="18"/>
        </w:rPr>
        <w:t>Source: Refinitiv</w:t>
      </w:r>
    </w:p>
    <w:p w:rsidR="00A12A17" w:rsidRPr="004C4151" w:rsidRDefault="00A12A17" w:rsidP="00A12A17">
      <w:pPr>
        <w:spacing w:line="23" w:lineRule="atLeast"/>
        <w:jc w:val="both"/>
        <w:outlineLvl w:val="0"/>
        <w:rPr>
          <w:rFonts w:ascii="Garamond" w:hAnsi="Garamond"/>
          <w:bCs/>
          <w:sz w:val="22"/>
          <w:szCs w:val="22"/>
        </w:rPr>
      </w:pPr>
    </w:p>
    <w:p w:rsidR="00A12A17" w:rsidRDefault="00A12A17" w:rsidP="00A12A17">
      <w:pPr>
        <w:rPr>
          <w:rFonts w:ascii="Garamond" w:hAnsi="Garamond"/>
          <w:bCs/>
          <w:sz w:val="22"/>
          <w:szCs w:val="22"/>
        </w:rPr>
      </w:pPr>
    </w:p>
    <w:p w:rsidR="00A12A17" w:rsidRDefault="00A12A17" w:rsidP="00A12A17">
      <w:pPr>
        <w:rPr>
          <w:rFonts w:ascii="Garamond" w:hAnsi="Garamond"/>
          <w:bCs/>
          <w:sz w:val="22"/>
          <w:szCs w:val="22"/>
        </w:rPr>
      </w:pPr>
    </w:p>
    <w:p w:rsidR="00A12A17" w:rsidRPr="004C4151" w:rsidRDefault="00A12A17" w:rsidP="00A12A17">
      <w:pPr>
        <w:rPr>
          <w:rFonts w:ascii="Garamond" w:hAnsi="Garamond"/>
          <w:bCs/>
          <w:sz w:val="22"/>
          <w:szCs w:val="22"/>
        </w:rPr>
      </w:pPr>
    </w:p>
    <w:p w:rsidR="00A12A17" w:rsidRPr="004C4151" w:rsidRDefault="00A12A17" w:rsidP="00A12A17">
      <w:pPr>
        <w:spacing w:line="23" w:lineRule="atLeast"/>
        <w:jc w:val="both"/>
        <w:outlineLvl w:val="0"/>
        <w:rPr>
          <w:rFonts w:ascii="Garamond" w:hAnsi="Garamond"/>
          <w:b/>
          <w:bCs/>
          <w:szCs w:val="22"/>
        </w:rPr>
      </w:pPr>
      <w:r w:rsidRPr="004C4151">
        <w:rPr>
          <w:rFonts w:ascii="Garamond" w:hAnsi="Garamond"/>
          <w:b/>
          <w:bCs/>
          <w:szCs w:val="22"/>
        </w:rPr>
        <w:t>Figure 4: Movement of 10-year Government Bond Yields in BRIC Nations</w:t>
      </w:r>
    </w:p>
    <w:p w:rsidR="00A12A17" w:rsidRPr="004C4151" w:rsidRDefault="00A12A17" w:rsidP="00A12A17">
      <w:pPr>
        <w:spacing w:line="23" w:lineRule="atLeast"/>
        <w:jc w:val="both"/>
        <w:outlineLvl w:val="0"/>
        <w:rPr>
          <w:rFonts w:ascii="Garamond" w:hAnsi="Garamond"/>
          <w:bCs/>
          <w:sz w:val="22"/>
          <w:szCs w:val="22"/>
        </w:rPr>
      </w:pPr>
      <w:r w:rsidRPr="00797A8B">
        <w:rPr>
          <w:rFonts w:ascii="Garamond" w:hAnsi="Garamond"/>
          <w:bCs/>
          <w:noProof/>
          <w:sz w:val="22"/>
          <w:szCs w:val="22"/>
          <w:lang w:val="en-IN" w:eastAsia="en-IN" w:bidi="hi-IN"/>
        </w:rPr>
        <w:drawing>
          <wp:inline distT="0" distB="0" distL="0" distR="0">
            <wp:extent cx="6076950" cy="28289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76950" cy="2828925"/>
                    </a:xfrm>
                    <a:prstGeom prst="rect">
                      <a:avLst/>
                    </a:prstGeom>
                    <a:noFill/>
                    <a:ln>
                      <a:noFill/>
                    </a:ln>
                  </pic:spPr>
                </pic:pic>
              </a:graphicData>
            </a:graphic>
          </wp:inline>
        </w:drawing>
      </w:r>
    </w:p>
    <w:p w:rsidR="00A12A17" w:rsidRPr="004C4151" w:rsidRDefault="00A12A17" w:rsidP="00A12A17">
      <w:pPr>
        <w:spacing w:line="23" w:lineRule="atLeast"/>
        <w:jc w:val="both"/>
        <w:outlineLvl w:val="0"/>
        <w:rPr>
          <w:rFonts w:ascii="Garamond" w:hAnsi="Garamond"/>
          <w:bCs/>
          <w:sz w:val="18"/>
          <w:szCs w:val="18"/>
        </w:rPr>
      </w:pPr>
      <w:r w:rsidRPr="004C4151">
        <w:rPr>
          <w:rFonts w:ascii="Garamond" w:hAnsi="Garamond"/>
          <w:bCs/>
          <w:sz w:val="18"/>
          <w:szCs w:val="18"/>
        </w:rPr>
        <w:t>Source: Refinitiv</w:t>
      </w:r>
    </w:p>
    <w:p w:rsidR="00A12A17" w:rsidRPr="004C4151" w:rsidRDefault="00A12A17" w:rsidP="00A12A17">
      <w:pPr>
        <w:spacing w:line="23" w:lineRule="atLeast"/>
        <w:jc w:val="both"/>
        <w:rPr>
          <w:rFonts w:ascii="Garamond" w:eastAsia="Times New Roman" w:hAnsi="Garamond"/>
          <w:bCs/>
          <w:sz w:val="22"/>
          <w:szCs w:val="22"/>
          <w:lang w:val="en-US"/>
        </w:rPr>
      </w:pPr>
    </w:p>
    <w:p w:rsidR="00A12A17" w:rsidRDefault="00A12A17" w:rsidP="00A12A17">
      <w:pPr>
        <w:spacing w:line="360" w:lineRule="auto"/>
        <w:jc w:val="both"/>
        <w:rPr>
          <w:rFonts w:ascii="Palatino Linotype" w:eastAsia="Times New Roman" w:hAnsi="Palatino Linotype"/>
          <w:b/>
          <w:sz w:val="22"/>
          <w:szCs w:val="22"/>
          <w:u w:val="single"/>
          <w:lang w:val="en-US"/>
        </w:rPr>
      </w:pPr>
    </w:p>
    <w:p w:rsidR="00A12A17" w:rsidRPr="006D42D9" w:rsidRDefault="00A12A17" w:rsidP="00A12A17">
      <w:pPr>
        <w:spacing w:line="360" w:lineRule="auto"/>
        <w:jc w:val="both"/>
        <w:rPr>
          <w:rFonts w:ascii="Palatino Linotype" w:eastAsia="Times New Roman" w:hAnsi="Palatino Linotype"/>
          <w:b/>
          <w:sz w:val="22"/>
          <w:szCs w:val="22"/>
          <w:lang w:val="en-US"/>
        </w:rPr>
      </w:pPr>
      <w:r w:rsidRPr="006D42D9">
        <w:rPr>
          <w:rFonts w:ascii="Palatino Linotype" w:eastAsia="Times New Roman" w:hAnsi="Palatino Linotype"/>
          <w:b/>
          <w:sz w:val="22"/>
          <w:szCs w:val="22"/>
          <w:u w:val="single"/>
          <w:lang w:val="en-US"/>
        </w:rPr>
        <w:t>Fund Mobilisation by Issuance of Equity and Bonds (Table A2)</w:t>
      </w:r>
      <w:r w:rsidRPr="006D42D9">
        <w:rPr>
          <w:rFonts w:ascii="Palatino Linotype" w:eastAsia="Times New Roman" w:hAnsi="Palatino Linotype"/>
          <w:b/>
          <w:sz w:val="22"/>
          <w:szCs w:val="22"/>
          <w:lang w:val="en-US"/>
        </w:rPr>
        <w:t xml:space="preserve"> – </w:t>
      </w:r>
    </w:p>
    <w:p w:rsidR="00A12A17" w:rsidRPr="006D42D9"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6D42D9">
        <w:rPr>
          <w:rFonts w:ascii="Palatino Linotype" w:eastAsia="Times New Roman" w:hAnsi="Palatino Linotype"/>
          <w:bCs/>
          <w:sz w:val="22"/>
          <w:szCs w:val="22"/>
          <w:lang w:val="en-US" w:eastAsia="en-GB"/>
        </w:rPr>
        <w:t xml:space="preserve">There was a </w:t>
      </w:r>
      <w:r w:rsidRPr="00AC67A7">
        <w:rPr>
          <w:rFonts w:ascii="Palatino Linotype" w:eastAsia="Times New Roman" w:hAnsi="Palatino Linotype"/>
          <w:bCs/>
          <w:sz w:val="22"/>
          <w:szCs w:val="22"/>
          <w:lang w:val="en-US" w:eastAsia="en-GB"/>
        </w:rPr>
        <w:t>23.2</w:t>
      </w:r>
      <w:r>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 xml:space="preserve">per cent </w:t>
      </w:r>
      <w:r>
        <w:rPr>
          <w:rFonts w:ascii="Palatino Linotype" w:eastAsia="Times New Roman" w:hAnsi="Palatino Linotype"/>
          <w:bCs/>
          <w:sz w:val="22"/>
          <w:szCs w:val="22"/>
          <w:lang w:val="en-US" w:eastAsia="en-GB"/>
        </w:rPr>
        <w:t>decrease</w:t>
      </w:r>
      <w:r w:rsidRPr="006D42D9">
        <w:rPr>
          <w:rFonts w:ascii="Palatino Linotype" w:eastAsia="Times New Roman" w:hAnsi="Palatino Linotype"/>
          <w:bCs/>
          <w:sz w:val="22"/>
          <w:szCs w:val="22"/>
          <w:lang w:val="en-US" w:eastAsia="en-GB"/>
        </w:rPr>
        <w:t xml:space="preserve"> in the fund mobilization at the selected analyzed exchanges world-wide during </w:t>
      </w:r>
      <w:r>
        <w:rPr>
          <w:rFonts w:ascii="Palatino Linotype" w:eastAsia="Times New Roman" w:hAnsi="Palatino Linotype"/>
          <w:bCs/>
          <w:sz w:val="22"/>
          <w:szCs w:val="22"/>
          <w:lang w:val="en-US" w:eastAsia="en-GB"/>
        </w:rPr>
        <w:t>February</w:t>
      </w:r>
      <w:r w:rsidRPr="006D42D9">
        <w:rPr>
          <w:rFonts w:ascii="Palatino Linotype" w:eastAsia="Times New Roman" w:hAnsi="Palatino Linotype"/>
          <w:bCs/>
          <w:sz w:val="22"/>
          <w:szCs w:val="22"/>
          <w:lang w:val="en-US" w:eastAsia="en-GB"/>
        </w:rPr>
        <w:t xml:space="preserve"> 202</w:t>
      </w:r>
      <w:r>
        <w:rPr>
          <w:rFonts w:ascii="Palatino Linotype" w:eastAsia="Times New Roman" w:hAnsi="Palatino Linotype"/>
          <w:bCs/>
          <w:sz w:val="22"/>
          <w:szCs w:val="22"/>
          <w:lang w:val="en-US" w:eastAsia="en-GB"/>
        </w:rPr>
        <w:t>1</w:t>
      </w:r>
      <w:r w:rsidRPr="006D42D9">
        <w:rPr>
          <w:rFonts w:ascii="Palatino Linotype" w:eastAsia="Times New Roman" w:hAnsi="Palatino Linotype"/>
          <w:bCs/>
          <w:sz w:val="22"/>
          <w:szCs w:val="22"/>
          <w:lang w:val="en-US" w:eastAsia="en-GB"/>
        </w:rPr>
        <w:t xml:space="preserve"> (at </w:t>
      </w:r>
      <w:r w:rsidRPr="00AC67A7">
        <w:rPr>
          <w:rFonts w:ascii="Palatino Linotype" w:eastAsia="Times New Roman" w:hAnsi="Palatino Linotype"/>
          <w:bCs/>
          <w:sz w:val="22"/>
          <w:szCs w:val="22"/>
          <w:lang w:val="en-US" w:eastAsia="en-GB"/>
        </w:rPr>
        <w:t>290,853</w:t>
      </w:r>
      <w:r>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 xml:space="preserve">million USD) against previous month (at </w:t>
      </w:r>
      <w:r w:rsidRPr="00F41E53">
        <w:rPr>
          <w:rFonts w:ascii="Palatino Linotype" w:eastAsia="Times New Roman" w:hAnsi="Palatino Linotype"/>
          <w:bCs/>
          <w:sz w:val="22"/>
          <w:szCs w:val="22"/>
          <w:lang w:val="en-US" w:eastAsia="en-GB"/>
        </w:rPr>
        <w:t xml:space="preserve"> 378,923</w:t>
      </w:r>
      <w:r>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 xml:space="preserve">million USD). Only </w:t>
      </w:r>
      <w:r w:rsidRPr="00D8214E">
        <w:rPr>
          <w:rFonts w:ascii="Palatino Linotype" w:eastAsia="Times New Roman" w:hAnsi="Palatino Linotype"/>
          <w:bCs/>
          <w:sz w:val="22"/>
          <w:szCs w:val="22"/>
          <w:lang w:val="en-US" w:eastAsia="en-GB"/>
        </w:rPr>
        <w:t xml:space="preserve"> 14.9 </w:t>
      </w:r>
      <w:r w:rsidRPr="00D05BCE">
        <w:rPr>
          <w:rFonts w:ascii="Palatino Linotype" w:eastAsia="Times New Roman" w:hAnsi="Palatino Linotype"/>
          <w:bCs/>
          <w:sz w:val="22"/>
          <w:szCs w:val="22"/>
          <w:lang w:val="en-US" w:eastAsia="en-GB"/>
        </w:rPr>
        <w:t xml:space="preserve"> p</w:t>
      </w:r>
      <w:r w:rsidRPr="006D42D9">
        <w:rPr>
          <w:rFonts w:ascii="Palatino Linotype" w:eastAsia="Times New Roman" w:hAnsi="Palatino Linotype"/>
          <w:bCs/>
          <w:sz w:val="22"/>
          <w:szCs w:val="22"/>
          <w:lang w:val="en-US" w:eastAsia="en-GB"/>
        </w:rPr>
        <w:t xml:space="preserve">er cent of the total fund mobilization in </w:t>
      </w:r>
      <w:r>
        <w:rPr>
          <w:rFonts w:ascii="Palatino Linotype" w:eastAsia="Times New Roman" w:hAnsi="Palatino Linotype"/>
          <w:bCs/>
          <w:color w:val="000000"/>
          <w:sz w:val="22"/>
          <w:szCs w:val="22"/>
          <w:lang w:val="en-US" w:eastAsia="en-GB"/>
        </w:rPr>
        <w:t>February</w:t>
      </w:r>
      <w:r w:rsidRPr="006D42D9">
        <w:rPr>
          <w:rFonts w:ascii="Palatino Linotype" w:eastAsia="Times New Roman" w:hAnsi="Palatino Linotype"/>
          <w:bCs/>
          <w:color w:val="000000"/>
          <w:sz w:val="22"/>
          <w:szCs w:val="22"/>
          <w:lang w:val="en-US" w:eastAsia="en-GB"/>
        </w:rPr>
        <w:t xml:space="preserve"> 202</w:t>
      </w:r>
      <w:r>
        <w:rPr>
          <w:rFonts w:ascii="Palatino Linotype" w:eastAsia="Times New Roman" w:hAnsi="Palatino Linotype"/>
          <w:bCs/>
          <w:color w:val="000000"/>
          <w:sz w:val="22"/>
          <w:szCs w:val="22"/>
          <w:lang w:val="en-US" w:eastAsia="en-GB"/>
        </w:rPr>
        <w:t>1</w:t>
      </w:r>
      <w:r w:rsidRPr="006D42D9">
        <w:rPr>
          <w:rFonts w:ascii="Palatino Linotype" w:eastAsia="Times New Roman" w:hAnsi="Palatino Linotype"/>
          <w:bCs/>
          <w:color w:val="000000"/>
          <w:sz w:val="22"/>
          <w:szCs w:val="22"/>
          <w:lang w:val="en-US" w:eastAsia="en-GB"/>
        </w:rPr>
        <w:t xml:space="preserve"> </w:t>
      </w:r>
      <w:r w:rsidRPr="006D42D9">
        <w:rPr>
          <w:rFonts w:ascii="Palatino Linotype" w:eastAsia="Times New Roman" w:hAnsi="Palatino Linotype"/>
          <w:bCs/>
          <w:sz w:val="22"/>
          <w:szCs w:val="22"/>
          <w:lang w:val="en-US" w:eastAsia="en-GB"/>
        </w:rPr>
        <w:t>was in equity and remaining was in debt.</w:t>
      </w:r>
    </w:p>
    <w:p w:rsidR="00A12A17" w:rsidRPr="006D42D9"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6D42D9">
        <w:rPr>
          <w:rFonts w:ascii="Palatino Linotype" w:eastAsia="Times New Roman" w:hAnsi="Palatino Linotype"/>
          <w:bCs/>
          <w:sz w:val="22"/>
          <w:szCs w:val="22"/>
          <w:lang w:val="en-US" w:eastAsia="en-GB"/>
        </w:rPr>
        <w:t>As per the data available on World Federation of Exchanges (WFE)</w:t>
      </w:r>
      <w:r w:rsidRPr="006D42D9">
        <w:rPr>
          <w:rFonts w:ascii="Palatino Linotype" w:eastAsia="Times New Roman" w:hAnsi="Palatino Linotype"/>
          <w:bCs/>
          <w:sz w:val="22"/>
          <w:szCs w:val="22"/>
          <w:vertAlign w:val="superscript"/>
          <w:lang w:val="en-US" w:eastAsia="en-GB"/>
        </w:rPr>
        <w:footnoteReference w:id="5"/>
      </w:r>
      <w:r w:rsidRPr="006D42D9">
        <w:rPr>
          <w:rFonts w:ascii="Palatino Linotype" w:eastAsia="Times New Roman" w:hAnsi="Palatino Linotype"/>
          <w:bCs/>
          <w:sz w:val="22"/>
          <w:szCs w:val="22"/>
          <w:lang w:val="en-US" w:eastAsia="en-GB"/>
        </w:rPr>
        <w:t xml:space="preserve">, highest amount mobilized through equities and bonds in </w:t>
      </w:r>
      <w:r>
        <w:rPr>
          <w:rFonts w:ascii="Palatino Linotype" w:eastAsia="Times New Roman" w:hAnsi="Palatino Linotype"/>
          <w:bCs/>
          <w:sz w:val="22"/>
          <w:szCs w:val="22"/>
          <w:lang w:val="en-US" w:eastAsia="en-GB"/>
        </w:rPr>
        <w:t>February</w:t>
      </w:r>
      <w:r w:rsidRPr="006D42D9">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 xml:space="preserve">2021 </w:t>
      </w:r>
      <w:r w:rsidRPr="006D42D9">
        <w:rPr>
          <w:rFonts w:ascii="Palatino Linotype" w:eastAsia="Times New Roman" w:hAnsi="Palatino Linotype"/>
          <w:bCs/>
          <w:sz w:val="22"/>
          <w:szCs w:val="22"/>
          <w:lang w:val="en-US" w:eastAsia="en-GB"/>
        </w:rPr>
        <w:t xml:space="preserve">was at </w:t>
      </w:r>
      <w:r w:rsidRPr="00797ED8">
        <w:rPr>
          <w:rFonts w:ascii="Palatino Linotype" w:eastAsia="Times New Roman" w:hAnsi="Palatino Linotype"/>
          <w:bCs/>
          <w:sz w:val="22"/>
          <w:szCs w:val="22"/>
          <w:lang w:val="en-US" w:eastAsia="en-GB"/>
        </w:rPr>
        <w:t>Korea Exchange</w:t>
      </w:r>
      <w:r w:rsidRPr="006D42D9">
        <w:rPr>
          <w:rFonts w:ascii="Palatino Linotype" w:eastAsia="Times New Roman" w:hAnsi="Palatino Linotype"/>
          <w:bCs/>
          <w:sz w:val="22"/>
          <w:szCs w:val="22"/>
          <w:lang w:val="en-US" w:eastAsia="en-GB"/>
        </w:rPr>
        <w:t xml:space="preserve"> (</w:t>
      </w:r>
      <w:r w:rsidRPr="003C1BFA">
        <w:rPr>
          <w:rFonts w:ascii="Palatino Linotype" w:eastAsia="Times New Roman" w:hAnsi="Palatino Linotype"/>
          <w:bCs/>
          <w:sz w:val="22"/>
          <w:szCs w:val="22"/>
          <w:lang w:val="en-US" w:eastAsia="en-GB"/>
        </w:rPr>
        <w:t>58,228</w:t>
      </w:r>
      <w:r w:rsidRPr="00912E51">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million USD) followed by</w:t>
      </w:r>
      <w:r w:rsidRPr="006D42D9">
        <w:rPr>
          <w:rFonts w:ascii="Palatino Linotype" w:hAnsi="Palatino Linotype"/>
          <w:sz w:val="22"/>
          <w:szCs w:val="22"/>
        </w:rPr>
        <w:t xml:space="preserve"> LSE Group </w:t>
      </w:r>
      <w:r w:rsidRPr="006D42D9">
        <w:rPr>
          <w:rFonts w:ascii="Palatino Linotype" w:eastAsia="Times New Roman" w:hAnsi="Palatino Linotype"/>
          <w:bCs/>
          <w:sz w:val="22"/>
          <w:szCs w:val="22"/>
          <w:lang w:val="en-US" w:eastAsia="en-GB"/>
        </w:rPr>
        <w:t>(</w:t>
      </w:r>
      <w:r w:rsidRPr="003C1BFA">
        <w:rPr>
          <w:rFonts w:ascii="Palatino Linotype" w:eastAsia="Times New Roman" w:hAnsi="Palatino Linotype"/>
          <w:bCs/>
          <w:sz w:val="22"/>
          <w:szCs w:val="22"/>
          <w:lang w:val="en-US" w:eastAsia="en-GB"/>
        </w:rPr>
        <w:t>54,353</w:t>
      </w:r>
      <w:r w:rsidRPr="00912E51">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 xml:space="preserve">million USD) and </w:t>
      </w:r>
      <w:r w:rsidRPr="003C1BFA">
        <w:rPr>
          <w:rFonts w:ascii="Palatino Linotype" w:eastAsia="Times New Roman" w:hAnsi="Palatino Linotype"/>
          <w:bCs/>
          <w:sz w:val="22"/>
          <w:szCs w:val="22"/>
          <w:lang w:val="en-US" w:eastAsia="en-GB"/>
        </w:rPr>
        <w:t>Deutsche Boerse AG</w:t>
      </w:r>
      <w:r w:rsidRPr="006D42D9">
        <w:rPr>
          <w:rFonts w:ascii="Palatino Linotype" w:eastAsia="Times New Roman" w:hAnsi="Palatino Linotype"/>
          <w:bCs/>
          <w:sz w:val="22"/>
          <w:szCs w:val="22"/>
          <w:lang w:val="en-US" w:eastAsia="en-GB"/>
        </w:rPr>
        <w:t xml:space="preserve"> (</w:t>
      </w:r>
      <w:r w:rsidRPr="003C1BFA">
        <w:rPr>
          <w:rFonts w:ascii="Palatino Linotype" w:eastAsia="Times New Roman" w:hAnsi="Palatino Linotype"/>
          <w:bCs/>
          <w:sz w:val="22"/>
          <w:szCs w:val="22"/>
          <w:lang w:val="en-US" w:eastAsia="en-GB"/>
        </w:rPr>
        <w:t>35,340</w:t>
      </w:r>
      <w:r w:rsidRPr="00912E51">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 xml:space="preserve">million USD). </w:t>
      </w:r>
    </w:p>
    <w:p w:rsidR="00A12A17" w:rsidRPr="006D42D9"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6D42D9">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February</w:t>
      </w:r>
      <w:r w:rsidRPr="006D42D9">
        <w:rPr>
          <w:rFonts w:ascii="Palatino Linotype" w:eastAsia="Times New Roman" w:hAnsi="Palatino Linotype"/>
          <w:bCs/>
          <w:sz w:val="22"/>
          <w:szCs w:val="22"/>
          <w:lang w:val="en-US" w:eastAsia="en-GB"/>
        </w:rPr>
        <w:t xml:space="preserve"> 202</w:t>
      </w:r>
      <w:r>
        <w:rPr>
          <w:rFonts w:ascii="Palatino Linotype" w:eastAsia="Times New Roman" w:hAnsi="Palatino Linotype"/>
          <w:bCs/>
          <w:sz w:val="22"/>
          <w:szCs w:val="22"/>
          <w:lang w:val="en-US" w:eastAsia="en-GB"/>
        </w:rPr>
        <w:t>1</w:t>
      </w:r>
      <w:r w:rsidRPr="006D42D9">
        <w:rPr>
          <w:rFonts w:ascii="Palatino Linotype" w:eastAsia="Times New Roman" w:hAnsi="Palatino Linotype"/>
          <w:bCs/>
          <w:sz w:val="22"/>
          <w:szCs w:val="22"/>
          <w:lang w:val="en-US" w:eastAsia="en-GB"/>
        </w:rPr>
        <w:t xml:space="preserve">, </w:t>
      </w:r>
      <w:r>
        <w:rPr>
          <w:rFonts w:ascii="Palatino Linotype" w:eastAsia="Times New Roman" w:hAnsi="Palatino Linotype"/>
          <w:bCs/>
          <w:sz w:val="22"/>
          <w:szCs w:val="22"/>
          <w:lang w:val="en-US" w:eastAsia="en-GB"/>
        </w:rPr>
        <w:t>a</w:t>
      </w:r>
      <w:r w:rsidRPr="006D42D9">
        <w:rPr>
          <w:rFonts w:ascii="Palatino Linotype" w:eastAsia="Times New Roman" w:hAnsi="Palatino Linotype"/>
          <w:bCs/>
          <w:sz w:val="22"/>
          <w:szCs w:val="22"/>
          <w:lang w:val="en-US" w:eastAsia="en-GB"/>
        </w:rPr>
        <w:t xml:space="preserve">t </w:t>
      </w:r>
      <w:r w:rsidRPr="00AB497F">
        <w:rPr>
          <w:rFonts w:ascii="Palatino Linotype" w:eastAsia="Times New Roman" w:hAnsi="Palatino Linotype"/>
          <w:bCs/>
          <w:sz w:val="22"/>
          <w:szCs w:val="22"/>
          <w:lang w:val="en-US" w:eastAsia="en-GB"/>
        </w:rPr>
        <w:t>LSE Group</w:t>
      </w:r>
      <w:r w:rsidRPr="006D42D9">
        <w:rPr>
          <w:rFonts w:ascii="Palatino Linotype" w:eastAsia="Times New Roman" w:hAnsi="Palatino Linotype"/>
          <w:bCs/>
          <w:sz w:val="22"/>
          <w:szCs w:val="22"/>
          <w:lang w:val="en-US" w:eastAsia="en-GB"/>
        </w:rPr>
        <w:t>,</w:t>
      </w:r>
      <w:r>
        <w:rPr>
          <w:rFonts w:ascii="Palatino Linotype" w:eastAsia="Times New Roman" w:hAnsi="Palatino Linotype"/>
          <w:bCs/>
          <w:sz w:val="22"/>
          <w:szCs w:val="22"/>
          <w:lang w:val="en-US" w:eastAsia="en-GB"/>
        </w:rPr>
        <w:t xml:space="preserve"> only</w:t>
      </w:r>
      <w:r w:rsidRPr="006D42D9">
        <w:rPr>
          <w:rFonts w:ascii="Palatino Linotype" w:eastAsia="Times New Roman" w:hAnsi="Palatino Linotype"/>
          <w:bCs/>
          <w:sz w:val="22"/>
          <w:szCs w:val="22"/>
          <w:lang w:val="en-US" w:eastAsia="en-GB"/>
        </w:rPr>
        <w:t xml:space="preserve"> </w:t>
      </w:r>
      <w:r w:rsidRPr="00AB497F">
        <w:rPr>
          <w:rFonts w:ascii="Palatino Linotype" w:eastAsia="Times New Roman" w:hAnsi="Palatino Linotype"/>
          <w:bCs/>
          <w:sz w:val="22"/>
          <w:szCs w:val="22"/>
          <w:lang w:val="en-US" w:eastAsia="en-GB"/>
        </w:rPr>
        <w:t>2,427</w:t>
      </w:r>
      <w:r w:rsidRPr="00912E51">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million USD were raised through equity and the remaining amount was</w:t>
      </w:r>
      <w:r>
        <w:rPr>
          <w:rFonts w:ascii="Palatino Linotype" w:eastAsia="Times New Roman" w:hAnsi="Palatino Linotype"/>
          <w:bCs/>
          <w:sz w:val="22"/>
          <w:szCs w:val="22"/>
          <w:lang w:val="en-US" w:eastAsia="en-GB"/>
        </w:rPr>
        <w:t xml:space="preserve"> raised through bonds whereas </w:t>
      </w:r>
      <w:r w:rsidRPr="006D42D9">
        <w:rPr>
          <w:rFonts w:ascii="Palatino Linotype" w:eastAsia="Times New Roman" w:hAnsi="Palatino Linotype"/>
          <w:bCs/>
          <w:sz w:val="22"/>
          <w:szCs w:val="22"/>
          <w:lang w:val="en-US" w:eastAsia="en-GB"/>
        </w:rPr>
        <w:t xml:space="preserve">fund mobilization at </w:t>
      </w:r>
      <w:r w:rsidRPr="00715D07">
        <w:rPr>
          <w:rFonts w:ascii="Palatino Linotype" w:eastAsia="Times New Roman" w:hAnsi="Palatino Linotype"/>
          <w:bCs/>
          <w:sz w:val="22"/>
          <w:szCs w:val="22"/>
          <w:lang w:val="en-US" w:eastAsia="en-GB"/>
        </w:rPr>
        <w:t>Deutsche Boerse AG</w:t>
      </w:r>
      <w:r w:rsidRPr="006D42D9">
        <w:rPr>
          <w:rFonts w:ascii="Palatino Linotype" w:eastAsia="Times New Roman" w:hAnsi="Palatino Linotype"/>
          <w:bCs/>
          <w:sz w:val="22"/>
          <w:szCs w:val="22"/>
          <w:lang w:val="en-US" w:eastAsia="en-GB"/>
        </w:rPr>
        <w:t xml:space="preserve"> in equity was</w:t>
      </w:r>
      <w:r>
        <w:rPr>
          <w:rFonts w:ascii="Palatino Linotype" w:eastAsia="Times New Roman" w:hAnsi="Palatino Linotype"/>
          <w:bCs/>
          <w:sz w:val="22"/>
          <w:szCs w:val="22"/>
          <w:lang w:val="en-US" w:eastAsia="en-GB"/>
        </w:rPr>
        <w:t xml:space="preserve"> only</w:t>
      </w:r>
      <w:r w:rsidRPr="006D42D9">
        <w:rPr>
          <w:rFonts w:ascii="Palatino Linotype" w:eastAsia="Times New Roman" w:hAnsi="Palatino Linotype"/>
          <w:bCs/>
          <w:sz w:val="22"/>
          <w:szCs w:val="22"/>
          <w:lang w:val="en-US" w:eastAsia="en-GB"/>
        </w:rPr>
        <w:t xml:space="preserve"> </w:t>
      </w:r>
      <w:r w:rsidRPr="00715D07">
        <w:rPr>
          <w:rFonts w:ascii="Palatino Linotype" w:eastAsia="Times New Roman" w:hAnsi="Palatino Linotype"/>
          <w:bCs/>
          <w:sz w:val="22"/>
          <w:szCs w:val="22"/>
          <w:lang w:val="en-US" w:eastAsia="en-GB"/>
        </w:rPr>
        <w:t>1,404</w:t>
      </w:r>
      <w:r w:rsidRPr="00912E51">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 xml:space="preserve">million USD and the remaining amount was raised through bonds </w:t>
      </w:r>
      <w:r>
        <w:rPr>
          <w:rFonts w:ascii="Palatino Linotype" w:eastAsia="Times New Roman" w:hAnsi="Palatino Linotype"/>
          <w:bCs/>
          <w:sz w:val="22"/>
          <w:szCs w:val="22"/>
          <w:lang w:val="en-US" w:eastAsia="en-GB"/>
        </w:rPr>
        <w:t>and</w:t>
      </w:r>
      <w:r w:rsidRPr="006D42D9">
        <w:rPr>
          <w:rFonts w:ascii="Palatino Linotype" w:eastAsia="Times New Roman" w:hAnsi="Palatino Linotype"/>
          <w:bCs/>
          <w:sz w:val="22"/>
          <w:szCs w:val="22"/>
          <w:lang w:val="en-US" w:eastAsia="en-GB"/>
        </w:rPr>
        <w:t xml:space="preserve"> at </w:t>
      </w:r>
      <w:r w:rsidRPr="006D42D9">
        <w:rPr>
          <w:rFonts w:ascii="Palatino Linotype" w:hAnsi="Palatino Linotype"/>
          <w:sz w:val="22"/>
          <w:szCs w:val="22"/>
        </w:rPr>
        <w:t xml:space="preserve">Korea Exchange </w:t>
      </w:r>
      <w:r w:rsidRPr="006D42D9">
        <w:rPr>
          <w:rFonts w:ascii="Palatino Linotype" w:eastAsia="Times New Roman" w:hAnsi="Palatino Linotype"/>
          <w:bCs/>
          <w:sz w:val="22"/>
          <w:szCs w:val="22"/>
          <w:lang w:val="en-US" w:eastAsia="en-GB"/>
        </w:rPr>
        <w:t xml:space="preserve">entire amount was raised through bonds only. </w:t>
      </w:r>
    </w:p>
    <w:p w:rsidR="00A12A17" w:rsidRPr="006D42D9"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6D42D9">
        <w:rPr>
          <w:rFonts w:ascii="Palatino Linotype" w:eastAsia="Times New Roman" w:hAnsi="Palatino Linotype"/>
          <w:bCs/>
          <w:sz w:val="22"/>
          <w:szCs w:val="22"/>
          <w:lang w:val="en-US" w:eastAsia="en-GB"/>
        </w:rPr>
        <w:t xml:space="preserve">Maximum fund mobilization through equities in </w:t>
      </w:r>
      <w:r>
        <w:rPr>
          <w:rFonts w:ascii="Palatino Linotype" w:eastAsia="Times New Roman" w:hAnsi="Palatino Linotype"/>
          <w:bCs/>
          <w:sz w:val="22"/>
          <w:szCs w:val="22"/>
          <w:lang w:val="en-US" w:eastAsia="en-GB"/>
        </w:rPr>
        <w:t>February 2021</w:t>
      </w:r>
      <w:r w:rsidRPr="006D42D9">
        <w:rPr>
          <w:rFonts w:ascii="Palatino Linotype" w:eastAsia="Times New Roman" w:hAnsi="Palatino Linotype"/>
          <w:bCs/>
          <w:sz w:val="22"/>
          <w:szCs w:val="22"/>
          <w:lang w:val="en-US" w:eastAsia="en-GB"/>
        </w:rPr>
        <w:t xml:space="preserve"> was at </w:t>
      </w:r>
      <w:r w:rsidRPr="00D875C3">
        <w:rPr>
          <w:rFonts w:ascii="Palatino Linotype" w:eastAsia="Times New Roman" w:hAnsi="Palatino Linotype"/>
          <w:bCs/>
          <w:sz w:val="22"/>
          <w:szCs w:val="22"/>
          <w:lang w:val="en-US" w:eastAsia="en-GB"/>
        </w:rPr>
        <w:t>Euronext</w:t>
      </w:r>
      <w:r w:rsidRPr="006D42D9">
        <w:rPr>
          <w:rFonts w:ascii="Palatino Linotype" w:eastAsia="Times New Roman" w:hAnsi="Palatino Linotype"/>
          <w:bCs/>
          <w:sz w:val="22"/>
          <w:szCs w:val="22"/>
          <w:lang w:val="en-US" w:eastAsia="en-GB"/>
        </w:rPr>
        <w:t xml:space="preserve"> (</w:t>
      </w:r>
      <w:r w:rsidRPr="00D875C3">
        <w:rPr>
          <w:rFonts w:ascii="Palatino Linotype" w:eastAsia="Times New Roman" w:hAnsi="Palatino Linotype"/>
          <w:bCs/>
          <w:sz w:val="22"/>
          <w:szCs w:val="22"/>
          <w:lang w:val="en-US" w:eastAsia="en-GB"/>
        </w:rPr>
        <w:t>12,855</w:t>
      </w:r>
      <w:r w:rsidRPr="00685B58">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million USD) followed by</w:t>
      </w:r>
      <w:r w:rsidRPr="006D42D9">
        <w:t xml:space="preserve"> </w:t>
      </w:r>
      <w:r w:rsidRPr="007438BB">
        <w:rPr>
          <w:rFonts w:ascii="Palatino Linotype" w:eastAsia="Times New Roman" w:hAnsi="Palatino Linotype"/>
          <w:bCs/>
          <w:sz w:val="22"/>
          <w:szCs w:val="22"/>
          <w:lang w:val="en-US" w:eastAsia="en-GB"/>
        </w:rPr>
        <w:t>Hong Kong Exchanges and Clearing</w:t>
      </w:r>
      <w:r w:rsidRPr="006D42D9">
        <w:rPr>
          <w:rFonts w:ascii="Palatino Linotype" w:eastAsia="Times New Roman" w:hAnsi="Palatino Linotype"/>
          <w:bCs/>
          <w:sz w:val="22"/>
          <w:szCs w:val="22"/>
          <w:lang w:val="en-US" w:eastAsia="en-GB"/>
        </w:rPr>
        <w:t xml:space="preserve"> (</w:t>
      </w:r>
      <w:r w:rsidRPr="00D875C3">
        <w:rPr>
          <w:rFonts w:ascii="Palatino Linotype" w:eastAsia="Times New Roman" w:hAnsi="Palatino Linotype"/>
          <w:bCs/>
          <w:sz w:val="22"/>
          <w:szCs w:val="22"/>
          <w:lang w:val="en-US" w:eastAsia="en-GB"/>
        </w:rPr>
        <w:t>12,293</w:t>
      </w:r>
      <w:r w:rsidRPr="00685B58">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 xml:space="preserve">million USD).   </w:t>
      </w:r>
    </w:p>
    <w:p w:rsidR="00A12A17" w:rsidRPr="006D42D9" w:rsidRDefault="00A12A17" w:rsidP="00A12A17">
      <w:pPr>
        <w:spacing w:line="276" w:lineRule="auto"/>
        <w:jc w:val="both"/>
        <w:rPr>
          <w:rFonts w:ascii="Palatino Linotype" w:eastAsia="Times New Roman" w:hAnsi="Palatino Linotype"/>
          <w:bCs/>
          <w:sz w:val="22"/>
          <w:szCs w:val="22"/>
          <w:lang w:val="en-US"/>
        </w:rPr>
      </w:pPr>
    </w:p>
    <w:p w:rsidR="00A12A17" w:rsidRPr="006D42D9" w:rsidRDefault="00A12A17" w:rsidP="00A12A17">
      <w:pPr>
        <w:spacing w:line="276" w:lineRule="auto"/>
        <w:ind w:left="284"/>
        <w:jc w:val="both"/>
        <w:rPr>
          <w:rFonts w:ascii="Palatino Linotype" w:eastAsia="Times New Roman" w:hAnsi="Palatino Linotype"/>
          <w:b/>
          <w:sz w:val="22"/>
          <w:szCs w:val="22"/>
          <w:lang w:val="en-US"/>
        </w:rPr>
      </w:pPr>
      <w:r w:rsidRPr="006D42D9">
        <w:rPr>
          <w:rFonts w:ascii="Palatino Linotype" w:eastAsia="Times New Roman" w:hAnsi="Palatino Linotype"/>
          <w:b/>
          <w:sz w:val="22"/>
          <w:szCs w:val="22"/>
          <w:u w:val="single"/>
          <w:lang w:val="en-US"/>
        </w:rPr>
        <w:t>Market Capitalisation of Major</w:t>
      </w:r>
      <w:r w:rsidRPr="006D42D9">
        <w:rPr>
          <w:rFonts w:ascii="Palatino Linotype" w:eastAsia="Times New Roman" w:hAnsi="Palatino Linotype"/>
          <w:b/>
          <w:sz w:val="22"/>
          <w:szCs w:val="22"/>
          <w:lang w:val="en-US"/>
        </w:rPr>
        <w:t xml:space="preserve"> Exchanges (Table A3) –</w:t>
      </w:r>
    </w:p>
    <w:p w:rsidR="00A12A17" w:rsidRPr="006D42D9" w:rsidRDefault="00A12A17" w:rsidP="00A12A17">
      <w:pPr>
        <w:spacing w:line="276" w:lineRule="auto"/>
        <w:ind w:left="360"/>
        <w:contextualSpacing/>
        <w:jc w:val="both"/>
        <w:rPr>
          <w:rFonts w:ascii="Palatino Linotype" w:eastAsia="Times New Roman" w:hAnsi="Palatino Linotype"/>
          <w:b/>
          <w:sz w:val="22"/>
          <w:szCs w:val="22"/>
          <w:lang w:val="en-US" w:eastAsia="en-GB"/>
        </w:rPr>
      </w:pPr>
    </w:p>
    <w:p w:rsidR="00A12A17" w:rsidRPr="006D42D9" w:rsidRDefault="00A12A17" w:rsidP="00A12A17">
      <w:pPr>
        <w:numPr>
          <w:ilvl w:val="0"/>
          <w:numId w:val="8"/>
        </w:numPr>
        <w:spacing w:line="276" w:lineRule="auto"/>
        <w:ind w:left="357" w:hanging="357"/>
        <w:jc w:val="both"/>
        <w:rPr>
          <w:rFonts w:ascii="Palatino Linotype" w:eastAsia="Times New Roman" w:hAnsi="Palatino Linotype"/>
          <w:bCs/>
          <w:sz w:val="22"/>
          <w:szCs w:val="22"/>
          <w:lang w:val="en-US" w:eastAsia="en-GB"/>
        </w:rPr>
      </w:pPr>
      <w:r w:rsidRPr="006D42D9">
        <w:rPr>
          <w:rFonts w:ascii="Palatino Linotype" w:eastAsia="Times New Roman" w:hAnsi="Palatino Linotype"/>
          <w:bCs/>
          <w:sz w:val="22"/>
          <w:szCs w:val="22"/>
          <w:lang w:val="en-US" w:eastAsia="en-GB"/>
        </w:rPr>
        <w:t>Most of the analysed exchanges of selected markets</w:t>
      </w:r>
      <w:r w:rsidRPr="006D42D9">
        <w:rPr>
          <w:rFonts w:ascii="Palatino Linotype" w:eastAsia="Times New Roman" w:hAnsi="Palatino Linotype"/>
          <w:bCs/>
          <w:sz w:val="22"/>
          <w:szCs w:val="22"/>
          <w:vertAlign w:val="superscript"/>
          <w:lang w:val="en-US" w:eastAsia="en-GB"/>
        </w:rPr>
        <w:footnoteReference w:id="6"/>
      </w:r>
      <w:r w:rsidRPr="006D42D9">
        <w:rPr>
          <w:rFonts w:ascii="Palatino Linotype" w:eastAsia="Times New Roman" w:hAnsi="Palatino Linotype"/>
          <w:bCs/>
          <w:sz w:val="22"/>
          <w:szCs w:val="22"/>
          <w:lang w:val="en-US" w:eastAsia="en-GB"/>
        </w:rPr>
        <w:t>, reflected a</w:t>
      </w:r>
      <w:r>
        <w:rPr>
          <w:rFonts w:ascii="Palatino Linotype" w:eastAsia="Times New Roman" w:hAnsi="Palatino Linotype"/>
          <w:bCs/>
          <w:sz w:val="22"/>
          <w:szCs w:val="22"/>
          <w:lang w:val="en-US" w:eastAsia="en-GB"/>
        </w:rPr>
        <w:t xml:space="preserve"> rise </w:t>
      </w:r>
      <w:r w:rsidRPr="006D42D9">
        <w:rPr>
          <w:rFonts w:ascii="Palatino Linotype" w:eastAsia="Times New Roman" w:hAnsi="Palatino Linotype"/>
          <w:bCs/>
          <w:sz w:val="22"/>
          <w:szCs w:val="22"/>
          <w:lang w:val="en-US" w:eastAsia="en-GB"/>
        </w:rPr>
        <w:t xml:space="preserve">in market capitalization in the month of </w:t>
      </w:r>
      <w:r>
        <w:rPr>
          <w:rFonts w:ascii="Palatino Linotype" w:eastAsia="Times New Roman" w:hAnsi="Palatino Linotype"/>
          <w:bCs/>
          <w:sz w:val="22"/>
          <w:szCs w:val="22"/>
          <w:lang w:val="en-US" w:eastAsia="en-GB"/>
        </w:rPr>
        <w:t>February</w:t>
      </w:r>
      <w:r w:rsidRPr="006D42D9">
        <w:rPr>
          <w:rFonts w:ascii="Palatino Linotype" w:eastAsia="Times New Roman" w:hAnsi="Palatino Linotype"/>
          <w:bCs/>
          <w:sz w:val="22"/>
          <w:szCs w:val="22"/>
          <w:lang w:val="en-US" w:eastAsia="en-GB"/>
        </w:rPr>
        <w:t xml:space="preserve"> 202</w:t>
      </w:r>
      <w:r>
        <w:rPr>
          <w:rFonts w:ascii="Palatino Linotype" w:eastAsia="Times New Roman" w:hAnsi="Palatino Linotype"/>
          <w:bCs/>
          <w:sz w:val="22"/>
          <w:szCs w:val="22"/>
          <w:lang w:val="en-US" w:eastAsia="en-GB"/>
        </w:rPr>
        <w:t>1</w:t>
      </w:r>
      <w:r w:rsidRPr="006D42D9">
        <w:rPr>
          <w:rFonts w:ascii="Palatino Linotype" w:eastAsia="Times New Roman" w:hAnsi="Palatino Linotype"/>
          <w:bCs/>
          <w:sz w:val="22"/>
          <w:szCs w:val="22"/>
          <w:lang w:val="en-US" w:eastAsia="en-GB"/>
        </w:rPr>
        <w:t xml:space="preserve"> as compared to previous month.</w:t>
      </w:r>
    </w:p>
    <w:p w:rsidR="00A12A17" w:rsidRPr="006D42D9"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6D42D9">
        <w:rPr>
          <w:rFonts w:ascii="Palatino Linotype" w:eastAsia="Times New Roman" w:hAnsi="Palatino Linotype"/>
          <w:bCs/>
          <w:sz w:val="22"/>
          <w:szCs w:val="22"/>
          <w:lang w:val="en-US" w:eastAsia="en-GB"/>
        </w:rPr>
        <w:t xml:space="preserve">Among the exchanges which registered highest increase in market capitalization were </w:t>
      </w:r>
      <w:r w:rsidRPr="00CD5518">
        <w:rPr>
          <w:rFonts w:ascii="Palatino Linotype" w:eastAsia="Times New Roman" w:hAnsi="Palatino Linotype"/>
          <w:bCs/>
          <w:sz w:val="22"/>
          <w:szCs w:val="22"/>
          <w:lang w:val="en-US" w:eastAsia="en-GB"/>
        </w:rPr>
        <w:t>BME Spanish Exchanges</w:t>
      </w:r>
      <w:r w:rsidRPr="006D42D9">
        <w:rPr>
          <w:rFonts w:ascii="Palatino Linotype" w:eastAsia="Times New Roman" w:hAnsi="Palatino Linotype"/>
          <w:bCs/>
          <w:sz w:val="22"/>
          <w:szCs w:val="22"/>
          <w:lang w:val="en-US" w:eastAsia="en-GB"/>
        </w:rPr>
        <w:t xml:space="preserve">, </w:t>
      </w:r>
      <w:r w:rsidRPr="00CD5518">
        <w:rPr>
          <w:rFonts w:ascii="Palatino Linotype" w:eastAsia="Times New Roman" w:hAnsi="Palatino Linotype"/>
          <w:bCs/>
          <w:sz w:val="22"/>
          <w:szCs w:val="22"/>
          <w:lang w:val="en-US" w:eastAsia="en-GB"/>
        </w:rPr>
        <w:t>LSE Group</w:t>
      </w:r>
      <w:r w:rsidRPr="006D42D9">
        <w:rPr>
          <w:rFonts w:ascii="Palatino Linotype" w:eastAsia="Times New Roman" w:hAnsi="Palatino Linotype"/>
          <w:bCs/>
          <w:sz w:val="22"/>
          <w:szCs w:val="22"/>
          <w:lang w:val="en-US" w:eastAsia="en-GB"/>
        </w:rPr>
        <w:t xml:space="preserve">, and </w:t>
      </w:r>
      <w:r w:rsidRPr="007A5924">
        <w:rPr>
          <w:rFonts w:ascii="Palatino Linotype" w:eastAsia="Times New Roman" w:hAnsi="Palatino Linotype"/>
          <w:bCs/>
          <w:sz w:val="22"/>
          <w:szCs w:val="22"/>
          <w:lang w:val="en-US" w:eastAsia="en-GB"/>
        </w:rPr>
        <w:t>Hong Kong Exchanges and Clearing</w:t>
      </w:r>
      <w:r w:rsidRPr="006D42D9">
        <w:rPr>
          <w:rFonts w:ascii="Palatino Linotype" w:eastAsia="Times New Roman" w:hAnsi="Palatino Linotype"/>
          <w:bCs/>
          <w:sz w:val="22"/>
          <w:szCs w:val="22"/>
          <w:lang w:val="en-US" w:eastAsia="en-GB"/>
        </w:rPr>
        <w:t xml:space="preserve"> (</w:t>
      </w:r>
      <w:r w:rsidRPr="007A5924">
        <w:rPr>
          <w:rFonts w:ascii="Palatino Linotype" w:eastAsia="Times New Roman" w:hAnsi="Palatino Linotype"/>
          <w:bCs/>
          <w:sz w:val="22"/>
          <w:szCs w:val="22"/>
          <w:lang w:val="en-US" w:eastAsia="en-GB"/>
        </w:rPr>
        <w:t>5.3</w:t>
      </w:r>
      <w:r w:rsidRPr="006D42D9">
        <w:rPr>
          <w:rFonts w:ascii="Palatino Linotype" w:eastAsia="Times New Roman" w:hAnsi="Palatino Linotype"/>
          <w:bCs/>
          <w:sz w:val="22"/>
          <w:szCs w:val="22"/>
          <w:lang w:val="en-US" w:eastAsia="en-GB"/>
        </w:rPr>
        <w:t xml:space="preserve">, </w:t>
      </w:r>
      <w:r w:rsidRPr="007A5924">
        <w:rPr>
          <w:rFonts w:ascii="Palatino Linotype" w:eastAsia="Times New Roman" w:hAnsi="Palatino Linotype"/>
          <w:bCs/>
          <w:sz w:val="22"/>
          <w:szCs w:val="22"/>
          <w:lang w:val="en-US" w:eastAsia="en-GB"/>
        </w:rPr>
        <w:t>4.5</w:t>
      </w:r>
      <w:r w:rsidRPr="006D42D9">
        <w:rPr>
          <w:rFonts w:ascii="Palatino Linotype" w:eastAsia="Times New Roman" w:hAnsi="Palatino Linotype"/>
          <w:bCs/>
          <w:sz w:val="22"/>
          <w:szCs w:val="22"/>
          <w:lang w:val="en-US" w:eastAsia="en-GB"/>
        </w:rPr>
        <w:t xml:space="preserve"> and </w:t>
      </w:r>
      <w:r w:rsidRPr="007A5924">
        <w:rPr>
          <w:rFonts w:ascii="Palatino Linotype" w:eastAsia="Times New Roman" w:hAnsi="Palatino Linotype"/>
          <w:bCs/>
          <w:sz w:val="22"/>
          <w:szCs w:val="22"/>
          <w:lang w:val="en-US" w:eastAsia="en-GB"/>
        </w:rPr>
        <w:t>4.4</w:t>
      </w:r>
      <w:r w:rsidRPr="006D42D9">
        <w:rPr>
          <w:rFonts w:ascii="Palatino Linotype" w:eastAsia="Times New Roman" w:hAnsi="Palatino Linotype"/>
          <w:bCs/>
          <w:sz w:val="22"/>
          <w:szCs w:val="22"/>
          <w:lang w:val="en-US" w:eastAsia="en-GB"/>
        </w:rPr>
        <w:t xml:space="preserve"> per cent respectively).</w:t>
      </w:r>
    </w:p>
    <w:p w:rsidR="00A12A17" w:rsidRPr="006D42D9"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6D42D9">
        <w:rPr>
          <w:rFonts w:ascii="Palatino Linotype" w:eastAsia="Times New Roman" w:hAnsi="Palatino Linotype"/>
          <w:bCs/>
          <w:sz w:val="22"/>
          <w:szCs w:val="22"/>
          <w:lang w:val="en-US" w:eastAsia="en-GB"/>
        </w:rPr>
        <w:t xml:space="preserve">Among the exchanges which </w:t>
      </w:r>
      <w:r>
        <w:rPr>
          <w:rFonts w:ascii="Palatino Linotype" w:eastAsia="Times New Roman" w:hAnsi="Palatino Linotype"/>
          <w:bCs/>
          <w:sz w:val="22"/>
          <w:szCs w:val="22"/>
          <w:lang w:val="en-US" w:eastAsia="en-GB"/>
        </w:rPr>
        <w:t xml:space="preserve">registered a decrease in </w:t>
      </w:r>
      <w:r w:rsidRPr="006D42D9">
        <w:rPr>
          <w:rFonts w:ascii="Palatino Linotype" w:eastAsia="Times New Roman" w:hAnsi="Palatino Linotype"/>
          <w:bCs/>
          <w:sz w:val="22"/>
          <w:szCs w:val="22"/>
          <w:lang w:val="en-US" w:eastAsia="en-GB"/>
        </w:rPr>
        <w:t>the market capitalization among the analysed ones were</w:t>
      </w:r>
      <w:r w:rsidRPr="002E432C">
        <w:t xml:space="preserve"> </w:t>
      </w:r>
      <w:r w:rsidRPr="007A5924">
        <w:rPr>
          <w:rFonts w:ascii="Palatino Linotype" w:eastAsia="Times New Roman" w:hAnsi="Palatino Linotype"/>
          <w:bCs/>
          <w:sz w:val="22"/>
          <w:szCs w:val="22"/>
          <w:lang w:val="en-US" w:eastAsia="en-GB"/>
        </w:rPr>
        <w:t>B3 - Brasil Bolsa Balcão</w:t>
      </w:r>
      <w:r w:rsidRPr="002E432C">
        <w:rPr>
          <w:rFonts w:ascii="Palatino Linotype" w:eastAsia="Times New Roman" w:hAnsi="Palatino Linotype"/>
          <w:bCs/>
          <w:sz w:val="22"/>
          <w:szCs w:val="22"/>
          <w:lang w:val="en-US" w:eastAsia="en-GB"/>
        </w:rPr>
        <w:t xml:space="preserve"> </w:t>
      </w:r>
      <w:r w:rsidRPr="006D42D9">
        <w:rPr>
          <w:rFonts w:ascii="Palatino Linotype" w:eastAsia="Times New Roman" w:hAnsi="Palatino Linotype"/>
          <w:bCs/>
          <w:sz w:val="22"/>
          <w:szCs w:val="22"/>
          <w:lang w:val="en-US" w:eastAsia="en-GB"/>
        </w:rPr>
        <w:t>(</w:t>
      </w:r>
      <w:r w:rsidRPr="00C55EA3">
        <w:rPr>
          <w:rFonts w:ascii="Palatino Linotype" w:eastAsia="Times New Roman" w:hAnsi="Palatino Linotype"/>
          <w:bCs/>
          <w:sz w:val="22"/>
          <w:szCs w:val="22"/>
          <w:lang w:val="en-US" w:eastAsia="en-GB"/>
        </w:rPr>
        <w:t>-2.0</w:t>
      </w:r>
      <w:r w:rsidRPr="006D42D9">
        <w:rPr>
          <w:rFonts w:ascii="Palatino Linotype" w:eastAsia="Times New Roman" w:hAnsi="Palatino Linotype"/>
          <w:bCs/>
          <w:sz w:val="22"/>
          <w:szCs w:val="22"/>
          <w:lang w:val="en-US" w:eastAsia="en-GB"/>
        </w:rPr>
        <w:t xml:space="preserve"> per cent)</w:t>
      </w:r>
      <w:r>
        <w:rPr>
          <w:rFonts w:ascii="Palatino Linotype" w:eastAsia="Times New Roman" w:hAnsi="Palatino Linotype"/>
          <w:bCs/>
          <w:sz w:val="22"/>
          <w:szCs w:val="22"/>
          <w:lang w:val="en-US" w:eastAsia="en-GB"/>
        </w:rPr>
        <w:t xml:space="preserve"> and</w:t>
      </w:r>
      <w:r w:rsidRPr="002E432C">
        <w:t xml:space="preserve"> </w:t>
      </w:r>
      <w:r w:rsidRPr="00C55EA3">
        <w:rPr>
          <w:rFonts w:ascii="Palatino Linotype" w:eastAsia="Times New Roman" w:hAnsi="Palatino Linotype"/>
          <w:bCs/>
          <w:sz w:val="22"/>
          <w:szCs w:val="22"/>
          <w:lang w:val="en-US" w:eastAsia="en-GB"/>
        </w:rPr>
        <w:t>Shenzhen Stock Exchange</w:t>
      </w:r>
      <w:r w:rsidRPr="006D42D9">
        <w:rPr>
          <w:rFonts w:ascii="Palatino Linotype" w:eastAsia="Times New Roman" w:hAnsi="Palatino Linotype"/>
          <w:bCs/>
          <w:sz w:val="22"/>
          <w:szCs w:val="22"/>
          <w:lang w:val="en-US" w:eastAsia="en-GB"/>
        </w:rPr>
        <w:t xml:space="preserve"> (</w:t>
      </w:r>
      <w:r w:rsidRPr="00C55EA3">
        <w:rPr>
          <w:rFonts w:ascii="Palatino Linotype" w:eastAsia="Times New Roman" w:hAnsi="Palatino Linotype"/>
          <w:bCs/>
          <w:sz w:val="22"/>
          <w:szCs w:val="22"/>
          <w:lang w:val="en-US" w:eastAsia="en-GB"/>
        </w:rPr>
        <w:t>-1.4</w:t>
      </w:r>
      <w:r w:rsidRPr="006D42D9">
        <w:rPr>
          <w:rFonts w:ascii="Palatino Linotype" w:eastAsia="Times New Roman" w:hAnsi="Palatino Linotype"/>
          <w:bCs/>
          <w:sz w:val="22"/>
          <w:szCs w:val="22"/>
          <w:lang w:val="en-US" w:eastAsia="en-GB"/>
        </w:rPr>
        <w:t xml:space="preserve"> per cent).</w:t>
      </w:r>
    </w:p>
    <w:p w:rsidR="00A12A17" w:rsidRPr="00497662" w:rsidRDefault="00A12A17" w:rsidP="00A12A17">
      <w:pPr>
        <w:spacing w:line="276" w:lineRule="auto"/>
        <w:ind w:left="360"/>
        <w:contextualSpacing/>
        <w:jc w:val="both"/>
        <w:rPr>
          <w:rFonts w:ascii="Palatino Linotype" w:eastAsia="Times New Roman" w:hAnsi="Palatino Linotype"/>
          <w:b/>
          <w:sz w:val="22"/>
          <w:szCs w:val="22"/>
          <w:u w:val="single"/>
          <w:lang w:val="en-US"/>
        </w:rPr>
      </w:pPr>
    </w:p>
    <w:p w:rsidR="00A12A17" w:rsidRPr="00497662" w:rsidRDefault="00A12A17" w:rsidP="00A12A17">
      <w:pPr>
        <w:spacing w:line="276" w:lineRule="auto"/>
        <w:ind w:left="360"/>
        <w:contextualSpacing/>
        <w:jc w:val="both"/>
        <w:rPr>
          <w:rFonts w:ascii="Palatino Linotype" w:eastAsia="Times New Roman" w:hAnsi="Palatino Linotype"/>
          <w:b/>
          <w:sz w:val="22"/>
          <w:szCs w:val="22"/>
          <w:lang w:val="en-US" w:eastAsia="en-GB"/>
        </w:rPr>
      </w:pPr>
      <w:r w:rsidRPr="00497662">
        <w:rPr>
          <w:rFonts w:ascii="Palatino Linotype" w:eastAsia="Times New Roman" w:hAnsi="Palatino Linotype"/>
          <w:b/>
          <w:sz w:val="22"/>
          <w:szCs w:val="22"/>
          <w:u w:val="single"/>
          <w:lang w:val="en-US"/>
        </w:rPr>
        <w:t xml:space="preserve">Derivatives </w:t>
      </w:r>
      <w:r w:rsidRPr="00497662">
        <w:rPr>
          <w:rFonts w:ascii="Palatino Linotype" w:eastAsia="Times New Roman" w:hAnsi="Palatino Linotype"/>
          <w:b/>
          <w:sz w:val="22"/>
          <w:szCs w:val="22"/>
          <w:lang w:val="en-US" w:eastAsia="en-GB"/>
        </w:rPr>
        <w:t xml:space="preserve">(Figures 5-6, Table A4–A8) – </w:t>
      </w:r>
    </w:p>
    <w:p w:rsidR="00A12A17" w:rsidRPr="00497662" w:rsidRDefault="00A12A17" w:rsidP="00A12A17">
      <w:pPr>
        <w:spacing w:line="276" w:lineRule="auto"/>
        <w:ind w:left="360"/>
        <w:contextualSpacing/>
        <w:jc w:val="both"/>
        <w:rPr>
          <w:rFonts w:ascii="Palatino Linotype" w:eastAsia="Times New Roman" w:hAnsi="Palatino Linotype"/>
          <w:b/>
          <w:sz w:val="22"/>
          <w:szCs w:val="22"/>
          <w:lang w:val="en-US" w:eastAsia="en-GB"/>
        </w:rPr>
      </w:pPr>
    </w:p>
    <w:p w:rsidR="00A12A17" w:rsidRPr="00497662"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497662">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February 2021</w:t>
      </w:r>
      <w:r w:rsidRPr="00497662">
        <w:rPr>
          <w:rFonts w:ascii="Palatino Linotype" w:eastAsia="Times New Roman" w:hAnsi="Palatino Linotype"/>
          <w:bCs/>
          <w:sz w:val="22"/>
          <w:szCs w:val="22"/>
          <w:lang w:val="en-US" w:eastAsia="en-GB"/>
        </w:rPr>
        <w:t>, the highest number of single stock futures contracts traded was at</w:t>
      </w:r>
      <w:r w:rsidRPr="008D6B22">
        <w:t xml:space="preserve"> </w:t>
      </w:r>
      <w:r w:rsidRPr="008D6B22">
        <w:rPr>
          <w:rFonts w:ascii="Palatino Linotype" w:eastAsia="Times New Roman" w:hAnsi="Palatino Linotype"/>
          <w:bCs/>
          <w:sz w:val="22"/>
          <w:szCs w:val="22"/>
          <w:lang w:val="en-US" w:eastAsia="en-GB"/>
        </w:rPr>
        <w:t>Borsa Istanbul</w:t>
      </w:r>
      <w:r w:rsidRPr="00497662">
        <w:rPr>
          <w:rFonts w:ascii="Palatino Linotype" w:eastAsia="Times New Roman" w:hAnsi="Palatino Linotype"/>
          <w:bCs/>
          <w:sz w:val="22"/>
          <w:szCs w:val="22"/>
          <w:lang w:val="en-US" w:eastAsia="en-GB"/>
        </w:rPr>
        <w:t xml:space="preserve"> (</w:t>
      </w:r>
      <w:r w:rsidRPr="005849EF">
        <w:rPr>
          <w:rFonts w:ascii="Palatino Linotype" w:eastAsia="Times New Roman" w:hAnsi="Palatino Linotype"/>
          <w:bCs/>
          <w:sz w:val="22"/>
          <w:szCs w:val="22"/>
          <w:lang w:val="en-US" w:eastAsia="en-GB"/>
        </w:rPr>
        <w:t>143,312,941</w:t>
      </w:r>
      <w:r w:rsidRPr="008D6B22">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followed by </w:t>
      </w:r>
      <w:r w:rsidRPr="008D6B22">
        <w:rPr>
          <w:rFonts w:ascii="Palatino Linotype" w:eastAsia="Times New Roman" w:hAnsi="Palatino Linotype"/>
          <w:bCs/>
          <w:sz w:val="22"/>
          <w:szCs w:val="22"/>
          <w:lang w:val="en-US" w:eastAsia="en-GB"/>
        </w:rPr>
        <w:t>Korea Exchange</w:t>
      </w:r>
      <w:r w:rsidRPr="00497662">
        <w:rPr>
          <w:rFonts w:ascii="Palatino Linotype" w:eastAsia="Times New Roman" w:hAnsi="Palatino Linotype"/>
          <w:bCs/>
          <w:sz w:val="22"/>
          <w:szCs w:val="22"/>
          <w:lang w:val="en-US" w:eastAsia="en-GB"/>
        </w:rPr>
        <w:t xml:space="preserve"> (</w:t>
      </w:r>
      <w:r w:rsidRPr="005849EF">
        <w:rPr>
          <w:rFonts w:ascii="Palatino Linotype" w:eastAsia="Times New Roman" w:hAnsi="Palatino Linotype"/>
          <w:bCs/>
          <w:sz w:val="22"/>
          <w:szCs w:val="22"/>
          <w:lang w:val="en-US" w:eastAsia="en-GB"/>
        </w:rPr>
        <w:t>118,275,248</w:t>
      </w:r>
      <w:r w:rsidRPr="008D6B22">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The highest number of single stock options were traded at </w:t>
      </w:r>
      <w:r w:rsidRPr="008D6B22">
        <w:rPr>
          <w:rFonts w:ascii="Palatino Linotype" w:eastAsia="Times New Roman" w:hAnsi="Palatino Linotype"/>
          <w:bCs/>
          <w:sz w:val="22"/>
          <w:szCs w:val="22"/>
          <w:lang w:val="en-US" w:eastAsia="en-GB"/>
        </w:rPr>
        <w:t>Nasdaq - US</w:t>
      </w:r>
      <w:r w:rsidRPr="00497662">
        <w:rPr>
          <w:rFonts w:ascii="Palatino Linotype" w:eastAsia="Times New Roman" w:hAnsi="Palatino Linotype"/>
          <w:bCs/>
          <w:sz w:val="22"/>
          <w:szCs w:val="22"/>
          <w:lang w:val="en-US" w:eastAsia="en-GB"/>
        </w:rPr>
        <w:t xml:space="preserve"> (</w:t>
      </w:r>
      <w:r w:rsidRPr="005849EF">
        <w:rPr>
          <w:rFonts w:ascii="Palatino Linotype" w:eastAsia="Times New Roman" w:hAnsi="Palatino Linotype"/>
          <w:bCs/>
          <w:sz w:val="22"/>
          <w:szCs w:val="22"/>
          <w:lang w:val="en-US" w:eastAsia="en-GB"/>
        </w:rPr>
        <w:t>213,092,696</w:t>
      </w:r>
      <w:r w:rsidRPr="008D6B22">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followed by </w:t>
      </w:r>
      <w:r w:rsidRPr="00EC4088">
        <w:rPr>
          <w:rFonts w:ascii="Palatino Linotype" w:eastAsia="Times New Roman" w:hAnsi="Palatino Linotype"/>
          <w:bCs/>
          <w:sz w:val="22"/>
          <w:szCs w:val="22"/>
          <w:lang w:val="en-US" w:eastAsia="en-GB"/>
        </w:rPr>
        <w:t>Cboe Global Markets</w:t>
      </w:r>
      <w:r w:rsidRPr="008D6B22">
        <w:rPr>
          <w:rFonts w:ascii="Palatino Linotype" w:eastAsia="Times New Roman" w:hAnsi="Palatino Linotype"/>
          <w:bCs/>
          <w:sz w:val="22"/>
          <w:szCs w:val="22"/>
          <w:lang w:val="en-US" w:eastAsia="en-GB"/>
        </w:rPr>
        <w:t xml:space="preserve"> </w:t>
      </w:r>
      <w:r w:rsidRPr="00497662">
        <w:rPr>
          <w:rFonts w:ascii="Palatino Linotype" w:eastAsia="Times New Roman" w:hAnsi="Palatino Linotype"/>
          <w:bCs/>
          <w:sz w:val="22"/>
          <w:szCs w:val="22"/>
          <w:lang w:val="en-US" w:eastAsia="en-GB"/>
        </w:rPr>
        <w:t>(</w:t>
      </w:r>
      <w:r w:rsidRPr="00EC4088">
        <w:rPr>
          <w:rFonts w:ascii="Palatino Linotype" w:eastAsia="Times New Roman" w:hAnsi="Palatino Linotype"/>
          <w:bCs/>
          <w:sz w:val="22"/>
          <w:szCs w:val="22"/>
          <w:lang w:val="en-US" w:eastAsia="en-GB"/>
        </w:rPr>
        <w:t>141,688,753</w:t>
      </w:r>
      <w:r w:rsidRPr="008D6B22">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w:t>
      </w:r>
    </w:p>
    <w:p w:rsidR="00A12A17"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497662">
        <w:rPr>
          <w:rFonts w:ascii="Palatino Linotype" w:eastAsia="Times New Roman" w:hAnsi="Palatino Linotype"/>
          <w:bCs/>
          <w:sz w:val="22"/>
          <w:szCs w:val="22"/>
          <w:lang w:val="en-US" w:eastAsia="en-GB"/>
        </w:rPr>
        <w:t xml:space="preserve">During </w:t>
      </w:r>
      <w:r>
        <w:rPr>
          <w:rFonts w:ascii="Palatino Linotype" w:eastAsia="Times New Roman" w:hAnsi="Palatino Linotype"/>
          <w:bCs/>
          <w:sz w:val="22"/>
          <w:szCs w:val="22"/>
          <w:lang w:val="en-US" w:eastAsia="en-GB"/>
        </w:rPr>
        <w:t>February 2021</w:t>
      </w:r>
      <w:r w:rsidRPr="00497662">
        <w:rPr>
          <w:rFonts w:ascii="Palatino Linotype" w:eastAsia="Times New Roman" w:hAnsi="Palatino Linotype"/>
          <w:bCs/>
          <w:sz w:val="22"/>
          <w:szCs w:val="22"/>
          <w:lang w:val="en-US" w:eastAsia="en-GB"/>
        </w:rPr>
        <w:t>, the highest number of stock</w:t>
      </w:r>
      <w:r>
        <w:rPr>
          <w:rFonts w:ascii="Palatino Linotype" w:eastAsia="Times New Roman" w:hAnsi="Palatino Linotype"/>
          <w:bCs/>
          <w:sz w:val="22"/>
          <w:szCs w:val="22"/>
          <w:lang w:val="en-US" w:eastAsia="en-GB"/>
        </w:rPr>
        <w:t xml:space="preserve"> index</w:t>
      </w:r>
      <w:r w:rsidRPr="00497662">
        <w:rPr>
          <w:rFonts w:ascii="Palatino Linotype" w:eastAsia="Times New Roman" w:hAnsi="Palatino Linotype"/>
          <w:bCs/>
          <w:sz w:val="22"/>
          <w:szCs w:val="22"/>
          <w:lang w:val="en-US" w:eastAsia="en-GB"/>
        </w:rPr>
        <w:t xml:space="preserve"> futures contracts traded was at </w:t>
      </w:r>
      <w:r w:rsidRPr="008D6B22">
        <w:rPr>
          <w:rFonts w:ascii="Palatino Linotype" w:eastAsia="Times New Roman" w:hAnsi="Palatino Linotype"/>
          <w:bCs/>
          <w:sz w:val="22"/>
          <w:szCs w:val="22"/>
          <w:lang w:val="en-US" w:eastAsia="en-GB"/>
        </w:rPr>
        <w:t>B3 - Brasil Bolsa Balcão</w:t>
      </w:r>
      <w:r w:rsidRPr="00497662">
        <w:rPr>
          <w:rFonts w:ascii="Palatino Linotype" w:eastAsia="Times New Roman" w:hAnsi="Palatino Linotype"/>
          <w:bCs/>
          <w:sz w:val="22"/>
          <w:szCs w:val="22"/>
          <w:lang w:val="en-US" w:eastAsia="en-GB"/>
        </w:rPr>
        <w:t xml:space="preserve"> (</w:t>
      </w:r>
      <w:r w:rsidRPr="00EC4088">
        <w:rPr>
          <w:rFonts w:ascii="Palatino Linotype" w:eastAsia="Times New Roman" w:hAnsi="Palatino Linotype"/>
          <w:bCs/>
          <w:sz w:val="22"/>
          <w:szCs w:val="22"/>
          <w:lang w:val="en-US" w:eastAsia="en-GB"/>
        </w:rPr>
        <w:t>317,928,898</w:t>
      </w:r>
      <w:r w:rsidRPr="008D6B22">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followed by </w:t>
      </w:r>
      <w:r w:rsidRPr="008D6B22">
        <w:rPr>
          <w:rFonts w:ascii="Palatino Linotype" w:eastAsia="Times New Roman" w:hAnsi="Palatino Linotype"/>
          <w:bCs/>
          <w:sz w:val="22"/>
          <w:szCs w:val="22"/>
          <w:lang w:val="en-US" w:eastAsia="en-GB"/>
        </w:rPr>
        <w:t>CME Group</w:t>
      </w:r>
      <w:r w:rsidRPr="00497662">
        <w:rPr>
          <w:rFonts w:ascii="Palatino Linotype" w:eastAsia="Times New Roman" w:hAnsi="Palatino Linotype"/>
          <w:bCs/>
          <w:sz w:val="22"/>
          <w:szCs w:val="22"/>
          <w:lang w:val="en-US" w:eastAsia="en-GB"/>
        </w:rPr>
        <w:t xml:space="preserve"> (</w:t>
      </w:r>
      <w:r w:rsidRPr="00EC4088">
        <w:rPr>
          <w:rFonts w:ascii="Palatino Linotype" w:eastAsia="Times New Roman" w:hAnsi="Palatino Linotype"/>
          <w:bCs/>
          <w:sz w:val="22"/>
          <w:szCs w:val="22"/>
          <w:lang w:val="en-US" w:eastAsia="en-GB"/>
        </w:rPr>
        <w:t>92,186,967</w:t>
      </w:r>
      <w:r w:rsidRPr="008D6B22">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The highest number of stock </w:t>
      </w:r>
      <w:r>
        <w:rPr>
          <w:rFonts w:ascii="Palatino Linotype" w:eastAsia="Times New Roman" w:hAnsi="Palatino Linotype"/>
          <w:bCs/>
          <w:sz w:val="22"/>
          <w:szCs w:val="22"/>
          <w:lang w:val="en-US" w:eastAsia="en-GB"/>
        </w:rPr>
        <w:t xml:space="preserve">index </w:t>
      </w:r>
      <w:r w:rsidRPr="00497662">
        <w:rPr>
          <w:rFonts w:ascii="Palatino Linotype" w:eastAsia="Times New Roman" w:hAnsi="Palatino Linotype"/>
          <w:bCs/>
          <w:sz w:val="22"/>
          <w:szCs w:val="22"/>
          <w:lang w:val="en-US" w:eastAsia="en-GB"/>
        </w:rPr>
        <w:t xml:space="preserve">options were traded at </w:t>
      </w:r>
      <w:r w:rsidRPr="000000F6">
        <w:rPr>
          <w:rFonts w:ascii="Palatino Linotype" w:eastAsia="Times New Roman" w:hAnsi="Palatino Linotype"/>
          <w:bCs/>
          <w:sz w:val="22"/>
          <w:szCs w:val="22"/>
          <w:lang w:val="en-US" w:eastAsia="en-GB"/>
        </w:rPr>
        <w:t>Korea Exchange</w:t>
      </w:r>
      <w:r w:rsidRPr="00497662">
        <w:rPr>
          <w:rFonts w:ascii="Palatino Linotype" w:eastAsia="Times New Roman" w:hAnsi="Palatino Linotype"/>
          <w:bCs/>
          <w:sz w:val="22"/>
          <w:szCs w:val="22"/>
          <w:lang w:val="en-US" w:eastAsia="en-GB"/>
        </w:rPr>
        <w:t xml:space="preserve"> (</w:t>
      </w:r>
      <w:r w:rsidRPr="000000F6">
        <w:rPr>
          <w:rFonts w:ascii="Palatino Linotype" w:eastAsia="Times New Roman" w:hAnsi="Palatino Linotype"/>
          <w:bCs/>
          <w:sz w:val="22"/>
          <w:szCs w:val="22"/>
          <w:lang w:val="en-US" w:eastAsia="en-GB"/>
        </w:rPr>
        <w:t>59,371,920</w:t>
      </w:r>
      <w:r w:rsidRPr="008D6B22">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followed by </w:t>
      </w:r>
      <w:r w:rsidRPr="000000F6">
        <w:rPr>
          <w:rFonts w:ascii="Palatino Linotype" w:eastAsia="Times New Roman" w:hAnsi="Palatino Linotype"/>
          <w:bCs/>
          <w:sz w:val="22"/>
          <w:szCs w:val="22"/>
          <w:lang w:val="en-US" w:eastAsia="en-GB"/>
        </w:rPr>
        <w:t>Cboe Global Markets</w:t>
      </w:r>
      <w:r w:rsidRPr="00497662">
        <w:rPr>
          <w:rFonts w:ascii="Palatino Linotype" w:eastAsia="Times New Roman" w:hAnsi="Palatino Linotype"/>
          <w:bCs/>
          <w:sz w:val="22"/>
          <w:szCs w:val="22"/>
          <w:lang w:val="en-US" w:eastAsia="en-GB"/>
        </w:rPr>
        <w:t xml:space="preserve"> (</w:t>
      </w:r>
      <w:r w:rsidRPr="000000F6">
        <w:rPr>
          <w:rFonts w:ascii="Palatino Linotype" w:eastAsia="Times New Roman" w:hAnsi="Palatino Linotype"/>
          <w:bCs/>
          <w:sz w:val="22"/>
          <w:szCs w:val="22"/>
          <w:lang w:val="en-US" w:eastAsia="en-GB"/>
        </w:rPr>
        <w:t>36,940,744</w:t>
      </w:r>
      <w:r w:rsidRPr="008D6B22">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w:t>
      </w:r>
    </w:p>
    <w:p w:rsidR="00A12A17" w:rsidRPr="00497662"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497662">
        <w:rPr>
          <w:rFonts w:ascii="Palatino Linotype" w:eastAsia="Times New Roman" w:hAnsi="Palatino Linotype"/>
          <w:bCs/>
          <w:sz w:val="22"/>
          <w:szCs w:val="22"/>
          <w:lang w:val="en-US" w:eastAsia="en-GB"/>
        </w:rPr>
        <w:t>Highest number of currency futures contracts were traded at Moscow Exchange (</w:t>
      </w:r>
      <w:r w:rsidRPr="0022057D">
        <w:rPr>
          <w:rFonts w:ascii="Palatino Linotype" w:eastAsia="Times New Roman" w:hAnsi="Palatino Linotype"/>
          <w:bCs/>
          <w:sz w:val="22"/>
          <w:szCs w:val="22"/>
          <w:lang w:val="en-US" w:eastAsia="en-GB"/>
        </w:rPr>
        <w:t>78,415,583</w:t>
      </w:r>
      <w:r w:rsidRPr="00717DF6">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followed by </w:t>
      </w:r>
      <w:r>
        <w:rPr>
          <w:rFonts w:ascii="Palatino Linotype" w:eastAsia="Times New Roman" w:hAnsi="Palatino Linotype"/>
          <w:bCs/>
          <w:sz w:val="22"/>
          <w:szCs w:val="22"/>
          <w:lang w:val="en-US" w:eastAsia="en-GB"/>
        </w:rPr>
        <w:t>B3 - Brasil Bolsa Balcao</w:t>
      </w:r>
      <w:r w:rsidRPr="00497662">
        <w:rPr>
          <w:rFonts w:ascii="Palatino Linotype" w:eastAsia="Times New Roman" w:hAnsi="Palatino Linotype"/>
          <w:bCs/>
          <w:sz w:val="22"/>
          <w:szCs w:val="22"/>
          <w:lang w:val="en-US" w:eastAsia="en-GB"/>
        </w:rPr>
        <w:t xml:space="preserve"> (</w:t>
      </w:r>
      <w:r w:rsidRPr="00776C87">
        <w:rPr>
          <w:rFonts w:ascii="Palatino Linotype" w:eastAsia="Times New Roman" w:hAnsi="Palatino Linotype"/>
          <w:bCs/>
          <w:sz w:val="22"/>
          <w:szCs w:val="22"/>
          <w:lang w:val="en-US" w:eastAsia="en-GB"/>
        </w:rPr>
        <w:t>64,655,504</w:t>
      </w:r>
      <w:r w:rsidRPr="00717DF6">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The highest number of currency options were traded at </w:t>
      </w:r>
      <w:r w:rsidRPr="00776C87">
        <w:rPr>
          <w:rFonts w:ascii="Palatino Linotype" w:eastAsia="Times New Roman" w:hAnsi="Palatino Linotype"/>
          <w:bCs/>
          <w:sz w:val="22"/>
          <w:szCs w:val="22"/>
          <w:lang w:val="en-US" w:eastAsia="en-GB"/>
        </w:rPr>
        <w:t>Moscow Exchange</w:t>
      </w:r>
      <w:r w:rsidRPr="00497662">
        <w:rPr>
          <w:rFonts w:ascii="Palatino Linotype" w:eastAsia="Times New Roman" w:hAnsi="Palatino Linotype"/>
          <w:bCs/>
          <w:sz w:val="22"/>
          <w:szCs w:val="22"/>
          <w:lang w:val="en-US" w:eastAsia="en-GB"/>
        </w:rPr>
        <w:t xml:space="preserve"> (</w:t>
      </w:r>
      <w:r w:rsidRPr="00776C87">
        <w:rPr>
          <w:rFonts w:ascii="Palatino Linotype" w:eastAsia="Times New Roman" w:hAnsi="Palatino Linotype"/>
          <w:bCs/>
          <w:sz w:val="22"/>
          <w:szCs w:val="22"/>
          <w:lang w:val="en-US" w:eastAsia="en-GB"/>
        </w:rPr>
        <w:t>1,704,090</w:t>
      </w:r>
      <w:r w:rsidRPr="00717DF6">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followed by </w:t>
      </w:r>
      <w:r w:rsidRPr="00776C87">
        <w:rPr>
          <w:rFonts w:ascii="Palatino Linotype" w:eastAsia="Times New Roman" w:hAnsi="Palatino Linotype"/>
          <w:bCs/>
          <w:sz w:val="22"/>
          <w:szCs w:val="22"/>
          <w:lang w:val="en-US" w:eastAsia="en-GB"/>
        </w:rPr>
        <w:t>Tel-Aviv Stock Exchange</w:t>
      </w:r>
      <w:r w:rsidRPr="00497662">
        <w:rPr>
          <w:rFonts w:ascii="Palatino Linotype" w:eastAsia="Times New Roman" w:hAnsi="Palatino Linotype"/>
          <w:bCs/>
          <w:sz w:val="22"/>
          <w:szCs w:val="22"/>
          <w:lang w:val="en-US" w:eastAsia="en-GB"/>
        </w:rPr>
        <w:t xml:space="preserve"> (</w:t>
      </w:r>
      <w:r w:rsidRPr="005466D8">
        <w:rPr>
          <w:rFonts w:ascii="Palatino Linotype" w:eastAsia="Times New Roman" w:hAnsi="Palatino Linotype"/>
          <w:bCs/>
          <w:sz w:val="22"/>
          <w:szCs w:val="22"/>
          <w:lang w:val="en-US" w:eastAsia="en-GB"/>
        </w:rPr>
        <w:t>1,176,696</w:t>
      </w:r>
      <w:r w:rsidRPr="00717DF6">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w:t>
      </w:r>
    </w:p>
    <w:p w:rsidR="00A12A17" w:rsidRPr="003121B9"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3121B9">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February 2021</w:t>
      </w:r>
      <w:r w:rsidRPr="003121B9">
        <w:rPr>
          <w:rFonts w:ascii="Palatino Linotype" w:eastAsia="Times New Roman" w:hAnsi="Palatino Linotype"/>
          <w:bCs/>
          <w:sz w:val="22"/>
          <w:szCs w:val="22"/>
          <w:lang w:val="en-US" w:eastAsia="en-GB"/>
        </w:rPr>
        <w:t>, the highest number of interest rate futures were traded at CME Group (</w:t>
      </w:r>
      <w:r w:rsidRPr="00E95DF9">
        <w:rPr>
          <w:rFonts w:ascii="Palatino Linotype" w:eastAsia="Times New Roman" w:hAnsi="Palatino Linotype"/>
          <w:bCs/>
          <w:sz w:val="22"/>
          <w:szCs w:val="22"/>
          <w:lang w:val="en-US" w:eastAsia="en-GB"/>
        </w:rPr>
        <w:t>204,206,273</w:t>
      </w:r>
      <w:r w:rsidRPr="003121B9">
        <w:rPr>
          <w:rFonts w:ascii="Palatino Linotype" w:eastAsia="Times New Roman" w:hAnsi="Palatino Linotype"/>
          <w:bCs/>
          <w:sz w:val="22"/>
          <w:szCs w:val="22"/>
          <w:lang w:val="en-US" w:eastAsia="en-GB"/>
        </w:rPr>
        <w:t xml:space="preserve">) followed by </w:t>
      </w:r>
      <w:r w:rsidRPr="00223D07">
        <w:rPr>
          <w:rFonts w:ascii="Palatino Linotype" w:eastAsia="Times New Roman" w:hAnsi="Palatino Linotype"/>
          <w:bCs/>
          <w:sz w:val="22"/>
          <w:szCs w:val="22"/>
          <w:lang w:val="en-US" w:eastAsia="en-GB"/>
        </w:rPr>
        <w:t>Deutsche Boerse AG</w:t>
      </w:r>
      <w:r w:rsidRPr="003121B9">
        <w:rPr>
          <w:rFonts w:ascii="Palatino Linotype" w:eastAsia="Times New Roman" w:hAnsi="Palatino Linotype"/>
          <w:bCs/>
          <w:sz w:val="22"/>
          <w:szCs w:val="22"/>
          <w:lang w:val="en-US" w:eastAsia="en-GB"/>
        </w:rPr>
        <w:t xml:space="preserve"> (</w:t>
      </w:r>
      <w:r w:rsidRPr="00223D07">
        <w:rPr>
          <w:rFonts w:ascii="Palatino Linotype" w:eastAsia="Times New Roman" w:hAnsi="Palatino Linotype"/>
          <w:bCs/>
          <w:sz w:val="22"/>
          <w:szCs w:val="22"/>
          <w:lang w:val="en-US" w:eastAsia="en-GB"/>
        </w:rPr>
        <w:t>49,865,752</w:t>
      </w:r>
      <w:r w:rsidRPr="003121B9">
        <w:rPr>
          <w:rFonts w:ascii="Palatino Linotype" w:eastAsia="Times New Roman" w:hAnsi="Palatino Linotype"/>
          <w:bCs/>
          <w:sz w:val="22"/>
          <w:szCs w:val="22"/>
          <w:lang w:val="en-US" w:eastAsia="en-GB"/>
        </w:rPr>
        <w:t xml:space="preserve">). Highest number of interest rate options were traded at </w:t>
      </w:r>
      <w:r w:rsidRPr="0032487C">
        <w:rPr>
          <w:rFonts w:ascii="Palatino Linotype" w:eastAsia="Times New Roman" w:hAnsi="Palatino Linotype"/>
          <w:bCs/>
          <w:sz w:val="22"/>
          <w:szCs w:val="22"/>
          <w:lang w:val="en-US" w:eastAsia="en-GB"/>
        </w:rPr>
        <w:t>CME Group</w:t>
      </w:r>
      <w:r w:rsidRPr="003121B9">
        <w:rPr>
          <w:rFonts w:ascii="Palatino Linotype" w:eastAsia="Times New Roman" w:hAnsi="Palatino Linotype"/>
          <w:bCs/>
          <w:sz w:val="22"/>
          <w:szCs w:val="22"/>
          <w:lang w:val="en-US" w:eastAsia="en-GB"/>
        </w:rPr>
        <w:t xml:space="preserve"> (</w:t>
      </w:r>
      <w:r w:rsidRPr="0032487C">
        <w:rPr>
          <w:rFonts w:ascii="Palatino Linotype" w:eastAsia="Times New Roman" w:hAnsi="Palatino Linotype"/>
          <w:bCs/>
          <w:sz w:val="22"/>
          <w:szCs w:val="22"/>
          <w:lang w:val="en-US" w:eastAsia="en-GB"/>
        </w:rPr>
        <w:t>47,476,935</w:t>
      </w:r>
      <w:r w:rsidRPr="003121B9">
        <w:rPr>
          <w:rFonts w:ascii="Palatino Linotype" w:eastAsia="Times New Roman" w:hAnsi="Palatino Linotype"/>
          <w:bCs/>
          <w:sz w:val="22"/>
          <w:szCs w:val="22"/>
          <w:lang w:val="en-US" w:eastAsia="en-GB"/>
        </w:rPr>
        <w:t xml:space="preserve">) followed by </w:t>
      </w:r>
      <w:r w:rsidRPr="0032487C">
        <w:rPr>
          <w:rFonts w:ascii="Palatino Linotype" w:eastAsia="Times New Roman" w:hAnsi="Palatino Linotype"/>
          <w:bCs/>
          <w:sz w:val="22"/>
          <w:szCs w:val="22"/>
          <w:lang w:val="en-US" w:eastAsia="en-GB"/>
        </w:rPr>
        <w:t>B3 - Brasil Bolsa Balcão</w:t>
      </w:r>
      <w:r w:rsidRPr="003121B9">
        <w:rPr>
          <w:rFonts w:ascii="Palatino Linotype" w:eastAsia="Times New Roman" w:hAnsi="Palatino Linotype"/>
          <w:bCs/>
          <w:sz w:val="22"/>
          <w:szCs w:val="22"/>
          <w:lang w:val="en-US" w:eastAsia="en-GB"/>
        </w:rPr>
        <w:t xml:space="preserve"> (</w:t>
      </w:r>
      <w:r w:rsidRPr="00F44CEB">
        <w:rPr>
          <w:rFonts w:ascii="Palatino Linotype" w:eastAsia="Times New Roman" w:hAnsi="Palatino Linotype"/>
          <w:bCs/>
          <w:sz w:val="22"/>
          <w:szCs w:val="22"/>
          <w:lang w:val="en-US" w:eastAsia="en-GB"/>
        </w:rPr>
        <w:t>9,321,322</w:t>
      </w:r>
      <w:r w:rsidRPr="003121B9">
        <w:rPr>
          <w:rFonts w:ascii="Palatino Linotype" w:eastAsia="Times New Roman" w:hAnsi="Palatino Linotype"/>
          <w:bCs/>
          <w:sz w:val="22"/>
          <w:szCs w:val="22"/>
          <w:lang w:val="en-US" w:eastAsia="en-GB"/>
        </w:rPr>
        <w:t xml:space="preserve">). </w:t>
      </w:r>
    </w:p>
    <w:p w:rsidR="00A12A17" w:rsidRPr="00497662" w:rsidRDefault="00A12A17" w:rsidP="00A12A17">
      <w:pPr>
        <w:numPr>
          <w:ilvl w:val="0"/>
          <w:numId w:val="8"/>
        </w:numPr>
        <w:spacing w:line="276" w:lineRule="auto"/>
        <w:jc w:val="both"/>
        <w:rPr>
          <w:rFonts w:ascii="Palatino Linotype" w:eastAsia="Times New Roman" w:hAnsi="Palatino Linotype"/>
          <w:bCs/>
          <w:sz w:val="22"/>
          <w:szCs w:val="22"/>
          <w:lang w:val="en-US" w:eastAsia="en-GB"/>
        </w:rPr>
      </w:pPr>
      <w:r w:rsidRPr="00497662">
        <w:rPr>
          <w:rFonts w:ascii="Palatino Linotype" w:eastAsia="Times New Roman" w:hAnsi="Palatino Linotype"/>
          <w:bCs/>
          <w:sz w:val="22"/>
          <w:szCs w:val="22"/>
          <w:lang w:val="en-US" w:eastAsia="en-GB"/>
        </w:rPr>
        <w:t xml:space="preserve">The highest number of commodity futures contracts were traded at </w:t>
      </w:r>
      <w:r w:rsidRPr="00F44CEB">
        <w:rPr>
          <w:rFonts w:ascii="Palatino Linotype" w:eastAsia="Times New Roman" w:hAnsi="Palatino Linotype"/>
          <w:bCs/>
          <w:sz w:val="22"/>
          <w:szCs w:val="22"/>
          <w:lang w:val="en-US" w:eastAsia="en-GB"/>
        </w:rPr>
        <w:t>Zhengzhou Commodity Exchange</w:t>
      </w:r>
      <w:r w:rsidRPr="00497662">
        <w:rPr>
          <w:rFonts w:ascii="Palatino Linotype" w:eastAsia="Times New Roman" w:hAnsi="Palatino Linotype"/>
          <w:bCs/>
          <w:sz w:val="22"/>
          <w:szCs w:val="22"/>
          <w:lang w:val="en-US" w:eastAsia="en-GB"/>
        </w:rPr>
        <w:t xml:space="preserve"> (</w:t>
      </w:r>
      <w:r w:rsidRPr="00F44CEB">
        <w:rPr>
          <w:rFonts w:ascii="Palatino Linotype" w:eastAsia="Times New Roman" w:hAnsi="Palatino Linotype"/>
          <w:bCs/>
          <w:sz w:val="22"/>
          <w:szCs w:val="22"/>
          <w:lang w:val="en-US" w:eastAsia="en-GB"/>
        </w:rPr>
        <w:t>146,364,261</w:t>
      </w:r>
      <w:r w:rsidRPr="006522E0">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followed by </w:t>
      </w:r>
      <w:r w:rsidRPr="00F44CEB">
        <w:rPr>
          <w:rFonts w:ascii="Palatino Linotype" w:eastAsia="Times New Roman" w:hAnsi="Palatino Linotype"/>
          <w:bCs/>
          <w:sz w:val="22"/>
          <w:szCs w:val="22"/>
          <w:lang w:val="en-US" w:eastAsia="en-GB"/>
        </w:rPr>
        <w:t>Shanghai Futures Exchange</w:t>
      </w:r>
      <w:r w:rsidRPr="00497662">
        <w:rPr>
          <w:rFonts w:ascii="Palatino Linotype" w:eastAsia="Times New Roman" w:hAnsi="Palatino Linotype"/>
          <w:bCs/>
          <w:sz w:val="22"/>
          <w:szCs w:val="22"/>
          <w:lang w:val="en-US" w:eastAsia="en-GB"/>
        </w:rPr>
        <w:t xml:space="preserve"> (</w:t>
      </w:r>
      <w:r w:rsidRPr="00030217">
        <w:rPr>
          <w:rFonts w:ascii="Palatino Linotype" w:eastAsia="Times New Roman" w:hAnsi="Palatino Linotype"/>
          <w:bCs/>
          <w:sz w:val="22"/>
          <w:szCs w:val="22"/>
          <w:lang w:val="en-US" w:eastAsia="en-GB"/>
        </w:rPr>
        <w:t>146,286,009</w:t>
      </w:r>
      <w:r w:rsidRPr="006522E0">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in </w:t>
      </w:r>
      <w:r>
        <w:rPr>
          <w:rFonts w:ascii="Palatino Linotype" w:eastAsia="Times New Roman" w:hAnsi="Palatino Linotype"/>
          <w:bCs/>
          <w:sz w:val="22"/>
          <w:szCs w:val="22"/>
          <w:lang w:val="en-US" w:eastAsia="en-GB"/>
        </w:rPr>
        <w:t>February 2021</w:t>
      </w:r>
      <w:r w:rsidRPr="00497662">
        <w:rPr>
          <w:rFonts w:ascii="Palatino Linotype" w:eastAsia="Times New Roman" w:hAnsi="Palatino Linotype"/>
          <w:bCs/>
          <w:sz w:val="22"/>
          <w:szCs w:val="22"/>
          <w:lang w:val="en-US" w:eastAsia="en-GB"/>
        </w:rPr>
        <w:t>. Among the commodity options the highest number of contracts were traded at CME Group (</w:t>
      </w:r>
      <w:r w:rsidRPr="00030217">
        <w:rPr>
          <w:rFonts w:ascii="Palatino Linotype" w:eastAsia="Times New Roman" w:hAnsi="Palatino Linotype"/>
          <w:bCs/>
          <w:sz w:val="22"/>
          <w:szCs w:val="22"/>
          <w:lang w:val="en-US" w:eastAsia="en-GB"/>
        </w:rPr>
        <w:t>12,537,672</w:t>
      </w:r>
      <w:r w:rsidRPr="006522E0">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followed by Dalian Commodity Exchange (</w:t>
      </w:r>
      <w:r w:rsidRPr="00030217">
        <w:rPr>
          <w:rFonts w:ascii="Palatino Linotype" w:eastAsia="Times New Roman" w:hAnsi="Palatino Linotype"/>
          <w:bCs/>
          <w:sz w:val="22"/>
          <w:szCs w:val="22"/>
          <w:lang w:val="en-US" w:eastAsia="en-GB"/>
        </w:rPr>
        <w:t>4,927,944</w:t>
      </w:r>
      <w:r w:rsidRPr="006522E0">
        <w:rPr>
          <w:rFonts w:ascii="Palatino Linotype" w:eastAsia="Times New Roman" w:hAnsi="Palatino Linotype"/>
          <w:bCs/>
          <w:sz w:val="22"/>
          <w:szCs w:val="22"/>
          <w:lang w:val="en-US" w:eastAsia="en-GB"/>
        </w:rPr>
        <w:t>)</w:t>
      </w:r>
      <w:r w:rsidRPr="00497662">
        <w:rPr>
          <w:rFonts w:ascii="Palatino Linotype" w:eastAsia="Times New Roman" w:hAnsi="Palatino Linotype"/>
          <w:bCs/>
          <w:sz w:val="22"/>
          <w:szCs w:val="22"/>
          <w:lang w:val="en-US" w:eastAsia="en-GB"/>
        </w:rPr>
        <w:t xml:space="preserve"> during the same period.</w:t>
      </w:r>
    </w:p>
    <w:p w:rsidR="00A12A17" w:rsidRPr="00497662" w:rsidRDefault="00A12A17" w:rsidP="00A12A17">
      <w:pPr>
        <w:numPr>
          <w:ilvl w:val="0"/>
          <w:numId w:val="8"/>
        </w:numPr>
        <w:spacing w:line="276" w:lineRule="auto"/>
        <w:ind w:hanging="357"/>
        <w:contextualSpacing/>
        <w:jc w:val="both"/>
        <w:rPr>
          <w:rFonts w:ascii="Palatino Linotype" w:hAnsi="Palatino Linotype"/>
          <w:bCs/>
          <w:sz w:val="22"/>
          <w:szCs w:val="22"/>
          <w:lang w:val="en-US"/>
        </w:rPr>
      </w:pPr>
      <w:r w:rsidRPr="00497662">
        <w:rPr>
          <w:rFonts w:ascii="Palatino Linotype" w:eastAsia="Times New Roman" w:hAnsi="Palatino Linotype"/>
          <w:bCs/>
          <w:sz w:val="22"/>
          <w:szCs w:val="22"/>
          <w:lang w:val="en-US" w:eastAsia="en-GB"/>
        </w:rPr>
        <w:t xml:space="preserve">In </w:t>
      </w:r>
      <w:r>
        <w:rPr>
          <w:rFonts w:ascii="Palatino Linotype" w:eastAsia="Times New Roman" w:hAnsi="Palatino Linotype"/>
          <w:bCs/>
          <w:sz w:val="22"/>
          <w:szCs w:val="22"/>
          <w:lang w:val="en-US" w:eastAsia="en-GB"/>
        </w:rPr>
        <w:t>February 2021</w:t>
      </w:r>
      <w:r w:rsidRPr="00497662">
        <w:rPr>
          <w:rFonts w:ascii="Palatino Linotype" w:eastAsia="Times New Roman" w:hAnsi="Palatino Linotype"/>
          <w:bCs/>
          <w:sz w:val="22"/>
          <w:szCs w:val="22"/>
          <w:lang w:val="en-US" w:eastAsia="en-GB"/>
        </w:rPr>
        <w:t>, most of the analysed</w:t>
      </w:r>
      <w:r w:rsidRPr="00497662">
        <w:rPr>
          <w:rFonts w:ascii="Palatino Linotype" w:eastAsia="Times New Roman" w:hAnsi="Palatino Linotype"/>
          <w:bCs/>
          <w:sz w:val="22"/>
          <w:szCs w:val="22"/>
          <w:vertAlign w:val="superscript"/>
          <w:lang w:val="en-US" w:eastAsia="en-GB"/>
        </w:rPr>
        <w:footnoteReference w:id="7"/>
      </w:r>
      <w:r w:rsidRPr="00497662">
        <w:rPr>
          <w:rFonts w:ascii="Palatino Linotype" w:eastAsia="Times New Roman" w:hAnsi="Palatino Linotype"/>
          <w:bCs/>
          <w:sz w:val="22"/>
          <w:szCs w:val="22"/>
          <w:lang w:val="en-US" w:eastAsia="en-GB"/>
        </w:rPr>
        <w:t xml:space="preserve"> currencies </w:t>
      </w:r>
      <w:r>
        <w:rPr>
          <w:rFonts w:ascii="Palatino Linotype" w:eastAsia="Times New Roman" w:hAnsi="Palatino Linotype"/>
          <w:bCs/>
          <w:sz w:val="22"/>
          <w:szCs w:val="22"/>
          <w:lang w:val="en-US" w:eastAsia="en-GB"/>
        </w:rPr>
        <w:t>depreciated</w:t>
      </w:r>
      <w:r w:rsidRPr="00497662">
        <w:rPr>
          <w:rFonts w:ascii="Palatino Linotype" w:eastAsia="Times New Roman" w:hAnsi="Palatino Linotype"/>
          <w:bCs/>
          <w:sz w:val="22"/>
          <w:szCs w:val="22"/>
          <w:lang w:val="en-US" w:eastAsia="en-GB"/>
        </w:rPr>
        <w:t xml:space="preserve"> against dollar. </w:t>
      </w:r>
      <w:r>
        <w:rPr>
          <w:rFonts w:ascii="Palatino Linotype" w:eastAsia="Times New Roman" w:hAnsi="Palatino Linotype"/>
          <w:bCs/>
          <w:sz w:val="22"/>
          <w:szCs w:val="22"/>
          <w:lang w:val="en-US" w:eastAsia="en-GB"/>
        </w:rPr>
        <w:t>Yen</w:t>
      </w:r>
      <w:r w:rsidRPr="00497662">
        <w:rPr>
          <w:rFonts w:ascii="Palatino Linotype" w:eastAsia="Times New Roman" w:hAnsi="Palatino Linotype"/>
          <w:bCs/>
          <w:sz w:val="22"/>
          <w:szCs w:val="22"/>
          <w:lang w:val="en-US" w:eastAsia="en-GB"/>
        </w:rPr>
        <w:t xml:space="preserve"> and </w:t>
      </w:r>
      <w:r>
        <w:rPr>
          <w:rFonts w:ascii="Palatino Linotype" w:eastAsia="Times New Roman" w:hAnsi="Palatino Linotype"/>
          <w:bCs/>
          <w:sz w:val="22"/>
          <w:szCs w:val="22"/>
          <w:lang w:val="en-US" w:eastAsia="en-GB"/>
        </w:rPr>
        <w:t>Swiss Franc</w:t>
      </w:r>
      <w:r w:rsidRPr="00497662">
        <w:rPr>
          <w:rFonts w:ascii="Palatino Linotype" w:eastAsia="Times New Roman" w:hAnsi="Palatino Linotype"/>
          <w:bCs/>
          <w:sz w:val="22"/>
          <w:szCs w:val="22"/>
          <w:lang w:val="en-US" w:eastAsia="en-GB"/>
        </w:rPr>
        <w:t xml:space="preserve"> were most </w:t>
      </w:r>
      <w:r>
        <w:rPr>
          <w:rFonts w:ascii="Palatino Linotype" w:eastAsia="Times New Roman" w:hAnsi="Palatino Linotype"/>
          <w:bCs/>
          <w:sz w:val="22"/>
          <w:szCs w:val="22"/>
          <w:lang w:val="en-US" w:eastAsia="en-GB"/>
        </w:rPr>
        <w:t>depreciating</w:t>
      </w:r>
      <w:r w:rsidRPr="00497662">
        <w:rPr>
          <w:rFonts w:ascii="Palatino Linotype" w:eastAsia="Times New Roman" w:hAnsi="Palatino Linotype"/>
          <w:bCs/>
          <w:sz w:val="22"/>
          <w:szCs w:val="22"/>
          <w:lang w:val="en-US" w:eastAsia="en-GB"/>
        </w:rPr>
        <w:t xml:space="preserve"> currencies against dollar among the analysed currencies.</w:t>
      </w:r>
    </w:p>
    <w:p w:rsidR="00A12A17" w:rsidRPr="0024165F" w:rsidRDefault="00A12A17" w:rsidP="00A12A17">
      <w:pPr>
        <w:spacing w:line="276" w:lineRule="auto"/>
        <w:outlineLvl w:val="0"/>
        <w:rPr>
          <w:rFonts w:ascii="Palatino Linotype" w:eastAsia="Times New Roman" w:hAnsi="Palatino Linotype"/>
          <w:b/>
          <w:sz w:val="22"/>
          <w:szCs w:val="22"/>
          <w:u w:val="single"/>
        </w:rPr>
      </w:pPr>
    </w:p>
    <w:p w:rsidR="00A12A17" w:rsidRPr="0024165F" w:rsidRDefault="00A12A17" w:rsidP="00A12A17">
      <w:pPr>
        <w:spacing w:line="276" w:lineRule="auto"/>
        <w:outlineLvl w:val="0"/>
        <w:rPr>
          <w:rFonts w:ascii="Palatino Linotype" w:eastAsia="Times New Roman" w:hAnsi="Palatino Linotype"/>
          <w:b/>
          <w:sz w:val="22"/>
          <w:szCs w:val="22"/>
          <w:lang w:eastAsia="en-GB"/>
        </w:rPr>
      </w:pPr>
      <w:r w:rsidRPr="0024165F">
        <w:rPr>
          <w:rFonts w:ascii="Palatino Linotype" w:eastAsia="Times New Roman" w:hAnsi="Palatino Linotype"/>
          <w:b/>
          <w:sz w:val="22"/>
          <w:szCs w:val="22"/>
          <w:u w:val="single"/>
        </w:rPr>
        <w:t xml:space="preserve">US Treasury Securities </w:t>
      </w:r>
      <w:r w:rsidRPr="0024165F">
        <w:rPr>
          <w:rFonts w:ascii="Palatino Linotype" w:eastAsia="Times New Roman" w:hAnsi="Palatino Linotype"/>
          <w:b/>
          <w:sz w:val="22"/>
          <w:szCs w:val="22"/>
          <w:lang w:eastAsia="en-GB"/>
        </w:rPr>
        <w:t>(Table A9)</w:t>
      </w:r>
    </w:p>
    <w:p w:rsidR="00A12A17" w:rsidRPr="0024165F" w:rsidRDefault="00A12A17" w:rsidP="00A12A17">
      <w:pPr>
        <w:spacing w:line="276" w:lineRule="auto"/>
        <w:outlineLvl w:val="0"/>
        <w:rPr>
          <w:rFonts w:ascii="Palatino Linotype" w:hAnsi="Palatino Linotype"/>
          <w:bCs/>
          <w:sz w:val="22"/>
          <w:szCs w:val="22"/>
        </w:rPr>
      </w:pPr>
    </w:p>
    <w:p w:rsidR="00A12A17" w:rsidRPr="0024165F" w:rsidRDefault="00A12A17" w:rsidP="00A12A17">
      <w:pPr>
        <w:numPr>
          <w:ilvl w:val="0"/>
          <w:numId w:val="8"/>
        </w:numPr>
        <w:spacing w:line="276" w:lineRule="auto"/>
        <w:contextualSpacing/>
        <w:jc w:val="both"/>
        <w:rPr>
          <w:rFonts w:ascii="Palatino Linotype" w:hAnsi="Palatino Linotype"/>
          <w:bCs/>
          <w:sz w:val="22"/>
          <w:szCs w:val="22"/>
          <w:lang w:val="en-US"/>
        </w:rPr>
      </w:pPr>
      <w:r w:rsidRPr="0024165F">
        <w:rPr>
          <w:rFonts w:ascii="Palatino Linotype" w:eastAsia="Times New Roman" w:hAnsi="Palatino Linotype"/>
          <w:bCs/>
          <w:sz w:val="22"/>
          <w:szCs w:val="22"/>
          <w:lang w:val="en-US" w:eastAsia="en-GB"/>
        </w:rPr>
        <w:t xml:space="preserve">At the end of </w:t>
      </w:r>
      <w:r>
        <w:rPr>
          <w:rFonts w:ascii="Palatino Linotype" w:eastAsia="Times New Roman" w:hAnsi="Palatino Linotype"/>
          <w:bCs/>
          <w:sz w:val="22"/>
          <w:szCs w:val="22"/>
          <w:lang w:val="en-US" w:eastAsia="en-GB"/>
        </w:rPr>
        <w:t>February</w:t>
      </w:r>
      <w:r w:rsidRPr="0024165F">
        <w:rPr>
          <w:rFonts w:ascii="Palatino Linotype" w:eastAsia="Times New Roman" w:hAnsi="Palatino Linotype"/>
          <w:bCs/>
          <w:sz w:val="22"/>
          <w:szCs w:val="22"/>
          <w:lang w:val="en-US" w:eastAsia="en-GB"/>
        </w:rPr>
        <w:t xml:space="preserve"> 202</w:t>
      </w:r>
      <w:r>
        <w:rPr>
          <w:rFonts w:ascii="Palatino Linotype" w:eastAsia="Times New Roman" w:hAnsi="Palatino Linotype"/>
          <w:bCs/>
          <w:sz w:val="22"/>
          <w:szCs w:val="22"/>
          <w:lang w:val="en-US" w:eastAsia="en-GB"/>
        </w:rPr>
        <w:t>1</w:t>
      </w:r>
      <w:r w:rsidRPr="0024165F">
        <w:rPr>
          <w:rFonts w:ascii="Palatino Linotype" w:eastAsia="Times New Roman" w:hAnsi="Palatino Linotype"/>
          <w:bCs/>
          <w:sz w:val="22"/>
          <w:szCs w:val="22"/>
          <w:lang w:val="en-US" w:eastAsia="en-GB"/>
        </w:rPr>
        <w:t xml:space="preserve">, Japan was the biggest foreign holder of US Treasury Securities </w:t>
      </w:r>
      <w:r>
        <w:rPr>
          <w:rFonts w:ascii="Palatino Linotype" w:eastAsia="Times New Roman" w:hAnsi="Palatino Linotype"/>
          <w:bCs/>
          <w:sz w:val="22"/>
          <w:szCs w:val="22"/>
          <w:lang w:val="en-US" w:eastAsia="en-GB"/>
        </w:rPr>
        <w:t>holding</w:t>
      </w:r>
      <w:r w:rsidRPr="0024165F">
        <w:rPr>
          <w:rFonts w:ascii="Palatino Linotype" w:eastAsia="Times New Roman" w:hAnsi="Palatino Linotype"/>
          <w:bCs/>
          <w:sz w:val="22"/>
          <w:szCs w:val="22"/>
          <w:lang w:val="en-US" w:eastAsia="en-GB"/>
        </w:rPr>
        <w:t xml:space="preserve"> 17.</w:t>
      </w:r>
      <w:r>
        <w:rPr>
          <w:rFonts w:ascii="Palatino Linotype" w:eastAsia="Times New Roman" w:hAnsi="Palatino Linotype"/>
          <w:bCs/>
          <w:sz w:val="22"/>
          <w:szCs w:val="22"/>
          <w:lang w:val="en-US" w:eastAsia="en-GB"/>
        </w:rPr>
        <w:t>7</w:t>
      </w:r>
      <w:r w:rsidRPr="0024165F">
        <w:rPr>
          <w:rFonts w:ascii="Palatino Linotype" w:eastAsia="Times New Roman" w:hAnsi="Palatino Linotype"/>
          <w:bCs/>
          <w:sz w:val="22"/>
          <w:szCs w:val="22"/>
          <w:lang w:val="en-US" w:eastAsia="en-GB"/>
        </w:rPr>
        <w:t xml:space="preserve"> per cent </w:t>
      </w:r>
      <w:r>
        <w:rPr>
          <w:rFonts w:ascii="Palatino Linotype" w:eastAsia="Times New Roman" w:hAnsi="Palatino Linotype"/>
          <w:bCs/>
          <w:sz w:val="22"/>
          <w:szCs w:val="22"/>
          <w:lang w:val="en-US" w:eastAsia="en-GB"/>
        </w:rPr>
        <w:t xml:space="preserve">of the total US treasury Securities </w:t>
      </w:r>
      <w:r w:rsidRPr="0024165F">
        <w:rPr>
          <w:rFonts w:ascii="Palatino Linotype" w:eastAsia="Times New Roman" w:hAnsi="Palatino Linotype"/>
          <w:bCs/>
          <w:sz w:val="22"/>
          <w:szCs w:val="22"/>
          <w:lang w:val="en-US" w:eastAsia="en-GB"/>
        </w:rPr>
        <w:t>followed by China with 15.</w:t>
      </w:r>
      <w:r>
        <w:rPr>
          <w:rFonts w:ascii="Palatino Linotype" w:eastAsia="Times New Roman" w:hAnsi="Palatino Linotype"/>
          <w:bCs/>
          <w:sz w:val="22"/>
          <w:szCs w:val="22"/>
          <w:lang w:val="en-US" w:eastAsia="en-GB"/>
        </w:rPr>
        <w:t>6</w:t>
      </w:r>
      <w:r w:rsidRPr="0024165F">
        <w:rPr>
          <w:rFonts w:ascii="Palatino Linotype" w:eastAsia="Times New Roman" w:hAnsi="Palatino Linotype"/>
          <w:bCs/>
          <w:sz w:val="22"/>
          <w:szCs w:val="22"/>
          <w:lang w:val="en-US" w:eastAsia="en-GB"/>
        </w:rPr>
        <w:t xml:space="preserve"> per cent. The total foreign holding of US Treasury Securities at the end of </w:t>
      </w:r>
      <w:r>
        <w:rPr>
          <w:rFonts w:ascii="Palatino Linotype" w:eastAsia="Times New Roman" w:hAnsi="Palatino Linotype"/>
          <w:bCs/>
          <w:sz w:val="22"/>
          <w:szCs w:val="22"/>
          <w:lang w:val="en-US" w:eastAsia="en-GB"/>
        </w:rPr>
        <w:t>February</w:t>
      </w:r>
      <w:r w:rsidRPr="0024165F">
        <w:rPr>
          <w:rFonts w:ascii="Palatino Linotype" w:eastAsia="Times New Roman" w:hAnsi="Palatino Linotype"/>
          <w:bCs/>
          <w:sz w:val="22"/>
          <w:szCs w:val="22"/>
          <w:lang w:val="en-US" w:eastAsia="en-GB"/>
        </w:rPr>
        <w:t xml:space="preserve"> 202</w:t>
      </w:r>
      <w:r>
        <w:rPr>
          <w:rFonts w:ascii="Palatino Linotype" w:eastAsia="Times New Roman" w:hAnsi="Palatino Linotype"/>
          <w:bCs/>
          <w:sz w:val="22"/>
          <w:szCs w:val="22"/>
          <w:lang w:val="en-US" w:eastAsia="en-GB"/>
        </w:rPr>
        <w:t>1</w:t>
      </w:r>
      <w:r w:rsidRPr="0024165F">
        <w:rPr>
          <w:rFonts w:ascii="Palatino Linotype" w:eastAsia="Times New Roman" w:hAnsi="Palatino Linotype"/>
          <w:bCs/>
          <w:sz w:val="22"/>
          <w:szCs w:val="22"/>
          <w:lang w:val="en-US" w:eastAsia="en-GB"/>
        </w:rPr>
        <w:t xml:space="preserve"> was USD </w:t>
      </w:r>
      <w:r>
        <w:rPr>
          <w:rFonts w:ascii="Palatino Linotype" w:eastAsia="Times New Roman" w:hAnsi="Palatino Linotype"/>
          <w:bCs/>
          <w:sz w:val="22"/>
          <w:szCs w:val="22"/>
          <w:lang w:val="en-US" w:eastAsia="en-GB"/>
        </w:rPr>
        <w:t>7,099</w:t>
      </w:r>
      <w:r w:rsidRPr="0024165F">
        <w:rPr>
          <w:rFonts w:ascii="Palatino Linotype" w:eastAsia="Times New Roman" w:hAnsi="Palatino Linotype"/>
          <w:bCs/>
          <w:sz w:val="22"/>
          <w:szCs w:val="22"/>
          <w:lang w:val="en-US" w:eastAsia="en-GB"/>
        </w:rPr>
        <w:t xml:space="preserve"> billion. The holdings of US Treasury Securities by India reduced to 3.0 from </w:t>
      </w:r>
      <w:r>
        <w:rPr>
          <w:rFonts w:ascii="Palatino Linotype" w:eastAsia="Times New Roman" w:hAnsi="Palatino Linotype"/>
          <w:bCs/>
          <w:sz w:val="22"/>
          <w:szCs w:val="22"/>
          <w:lang w:val="en-US" w:eastAsia="en-GB"/>
        </w:rPr>
        <w:t>2.9</w:t>
      </w:r>
      <w:r w:rsidRPr="0024165F">
        <w:rPr>
          <w:rFonts w:ascii="Palatino Linotype" w:eastAsia="Times New Roman" w:hAnsi="Palatino Linotype"/>
          <w:bCs/>
          <w:sz w:val="22"/>
          <w:szCs w:val="22"/>
          <w:lang w:val="en-US" w:eastAsia="en-GB"/>
        </w:rPr>
        <w:t xml:space="preserve"> per cent at the end of </w:t>
      </w:r>
      <w:r>
        <w:rPr>
          <w:rFonts w:ascii="Palatino Linotype" w:eastAsia="Times New Roman" w:hAnsi="Palatino Linotype"/>
          <w:bCs/>
          <w:sz w:val="22"/>
          <w:szCs w:val="22"/>
          <w:lang w:val="en-US" w:eastAsia="en-GB"/>
        </w:rPr>
        <w:t>February</w:t>
      </w:r>
      <w:r w:rsidRPr="0024165F">
        <w:rPr>
          <w:rFonts w:ascii="Palatino Linotype" w:eastAsia="Times New Roman" w:hAnsi="Palatino Linotype"/>
          <w:bCs/>
          <w:sz w:val="22"/>
          <w:szCs w:val="22"/>
          <w:lang w:val="en-US" w:eastAsia="en-GB"/>
        </w:rPr>
        <w:t xml:space="preserve"> 202</w:t>
      </w:r>
      <w:r>
        <w:rPr>
          <w:rFonts w:ascii="Palatino Linotype" w:eastAsia="Times New Roman" w:hAnsi="Palatino Linotype"/>
          <w:bCs/>
          <w:sz w:val="22"/>
          <w:szCs w:val="22"/>
          <w:lang w:val="en-US" w:eastAsia="en-GB"/>
        </w:rPr>
        <w:t>1</w:t>
      </w:r>
      <w:r w:rsidRPr="0024165F">
        <w:rPr>
          <w:rFonts w:ascii="Palatino Linotype" w:eastAsia="Times New Roman" w:hAnsi="Palatino Linotype"/>
          <w:bCs/>
          <w:sz w:val="22"/>
          <w:szCs w:val="22"/>
          <w:lang w:val="en-US" w:eastAsia="en-GB"/>
        </w:rPr>
        <w:t xml:space="preserve"> against a month earlier.</w:t>
      </w:r>
    </w:p>
    <w:p w:rsidR="00A12A17" w:rsidRPr="0024165F" w:rsidRDefault="00A12A17" w:rsidP="00A12A17">
      <w:pPr>
        <w:rPr>
          <w:rFonts w:ascii="Garamond" w:hAnsi="Garamond"/>
          <w:b/>
          <w:bCs/>
          <w:szCs w:val="22"/>
        </w:rPr>
      </w:pPr>
    </w:p>
    <w:p w:rsidR="00A12A17" w:rsidRPr="0024165F" w:rsidRDefault="00A12A17" w:rsidP="00A12A17">
      <w:pPr>
        <w:rPr>
          <w:rFonts w:ascii="Garamond" w:hAnsi="Garamond"/>
          <w:b/>
          <w:bCs/>
          <w:szCs w:val="22"/>
        </w:rPr>
      </w:pPr>
    </w:p>
    <w:p w:rsidR="00A12A17" w:rsidRDefault="00A12A17" w:rsidP="00A12A17">
      <w:pPr>
        <w:rPr>
          <w:rFonts w:ascii="Garamond" w:hAnsi="Garamond"/>
          <w:b/>
          <w:bCs/>
          <w:szCs w:val="22"/>
        </w:rPr>
      </w:pPr>
      <w:r>
        <w:rPr>
          <w:rFonts w:ascii="Garamond" w:hAnsi="Garamond"/>
          <w:b/>
          <w:bCs/>
          <w:szCs w:val="22"/>
        </w:rPr>
        <w:br w:type="page"/>
      </w:r>
    </w:p>
    <w:p w:rsidR="00A12A17" w:rsidRPr="002A058E" w:rsidRDefault="00A12A17" w:rsidP="00A12A17">
      <w:pPr>
        <w:rPr>
          <w:rFonts w:ascii="Garamond" w:hAnsi="Garamond"/>
          <w:bCs/>
          <w:szCs w:val="22"/>
        </w:rPr>
      </w:pPr>
      <w:r w:rsidRPr="002A058E">
        <w:rPr>
          <w:rFonts w:ascii="Garamond" w:hAnsi="Garamond"/>
          <w:b/>
          <w:bCs/>
          <w:szCs w:val="22"/>
        </w:rPr>
        <w:t>Figure 5: Movement of the Major Currencies against USD</w:t>
      </w:r>
    </w:p>
    <w:p w:rsidR="00A12A17" w:rsidRPr="002A058E" w:rsidRDefault="00A12A17" w:rsidP="00A12A17">
      <w:pPr>
        <w:spacing w:line="23" w:lineRule="atLeast"/>
        <w:jc w:val="both"/>
        <w:rPr>
          <w:rFonts w:ascii="Garamond" w:hAnsi="Garamond"/>
          <w:bCs/>
          <w:sz w:val="18"/>
          <w:szCs w:val="18"/>
        </w:rPr>
      </w:pPr>
      <w:r w:rsidRPr="00797A8B">
        <w:rPr>
          <w:rFonts w:ascii="Garamond" w:hAnsi="Garamond"/>
          <w:bCs/>
          <w:noProof/>
          <w:sz w:val="18"/>
          <w:szCs w:val="18"/>
          <w:lang w:val="en-IN" w:eastAsia="en-IN" w:bidi="hi-IN"/>
        </w:rPr>
        <w:drawing>
          <wp:inline distT="0" distB="0" distL="0" distR="0">
            <wp:extent cx="59055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05500" cy="3429000"/>
                    </a:xfrm>
                    <a:prstGeom prst="rect">
                      <a:avLst/>
                    </a:prstGeom>
                    <a:noFill/>
                    <a:ln>
                      <a:noFill/>
                    </a:ln>
                  </pic:spPr>
                </pic:pic>
              </a:graphicData>
            </a:graphic>
          </wp:inline>
        </w:drawing>
      </w:r>
    </w:p>
    <w:p w:rsidR="00A12A17" w:rsidRPr="002A058E" w:rsidRDefault="00A12A17" w:rsidP="00A12A17">
      <w:pPr>
        <w:spacing w:line="23" w:lineRule="atLeast"/>
        <w:jc w:val="both"/>
        <w:rPr>
          <w:rFonts w:ascii="Garamond" w:hAnsi="Garamond"/>
          <w:bCs/>
          <w:sz w:val="18"/>
          <w:szCs w:val="18"/>
        </w:rPr>
      </w:pPr>
      <w:r w:rsidRPr="002A058E">
        <w:rPr>
          <w:rFonts w:ascii="Garamond" w:hAnsi="Garamond"/>
          <w:bCs/>
          <w:sz w:val="18"/>
          <w:szCs w:val="18"/>
        </w:rPr>
        <w:t xml:space="preserve">Note: All indices have been </w:t>
      </w:r>
      <w:r>
        <w:rPr>
          <w:rFonts w:ascii="Garamond" w:hAnsi="Garamond"/>
          <w:bCs/>
          <w:sz w:val="18"/>
          <w:szCs w:val="18"/>
        </w:rPr>
        <w:t>normalised to 100 on 31 March 2020</w:t>
      </w:r>
      <w:r w:rsidRPr="002A058E">
        <w:rPr>
          <w:rFonts w:ascii="Garamond" w:hAnsi="Garamond"/>
          <w:bCs/>
          <w:sz w:val="18"/>
          <w:szCs w:val="18"/>
        </w:rPr>
        <w:t>.</w:t>
      </w:r>
    </w:p>
    <w:p w:rsidR="00A12A17" w:rsidRPr="002A058E" w:rsidRDefault="00A12A17" w:rsidP="00A12A17">
      <w:pPr>
        <w:spacing w:line="23" w:lineRule="atLeast"/>
        <w:outlineLvl w:val="0"/>
        <w:rPr>
          <w:rFonts w:ascii="Garamond" w:hAnsi="Garamond"/>
          <w:bCs/>
          <w:sz w:val="18"/>
          <w:szCs w:val="18"/>
        </w:rPr>
      </w:pPr>
      <w:r w:rsidRPr="002A058E">
        <w:rPr>
          <w:rFonts w:ascii="Garamond" w:hAnsi="Garamond"/>
          <w:bCs/>
          <w:sz w:val="18"/>
          <w:szCs w:val="18"/>
        </w:rPr>
        <w:t>Source: Refinitiv</w:t>
      </w:r>
    </w:p>
    <w:p w:rsidR="00A12A17" w:rsidRPr="002A058E" w:rsidRDefault="00A12A17" w:rsidP="00A12A17">
      <w:pPr>
        <w:rPr>
          <w:rFonts w:ascii="Garamond" w:hAnsi="Garamond"/>
          <w:b/>
          <w:bCs/>
          <w:szCs w:val="22"/>
        </w:rPr>
      </w:pPr>
    </w:p>
    <w:p w:rsidR="00A12A17" w:rsidRPr="002A058E" w:rsidRDefault="00A12A17" w:rsidP="00A12A17">
      <w:pPr>
        <w:rPr>
          <w:rFonts w:ascii="Garamond" w:hAnsi="Garamond"/>
          <w:b/>
          <w:bCs/>
          <w:szCs w:val="22"/>
        </w:rPr>
      </w:pPr>
    </w:p>
    <w:p w:rsidR="00A12A17" w:rsidRPr="002A058E" w:rsidRDefault="00A12A17" w:rsidP="00A12A17">
      <w:pPr>
        <w:rPr>
          <w:rFonts w:ascii="Garamond" w:hAnsi="Garamond"/>
          <w:b/>
          <w:bCs/>
          <w:szCs w:val="22"/>
        </w:rPr>
      </w:pPr>
    </w:p>
    <w:p w:rsidR="00A12A17" w:rsidRPr="002A058E" w:rsidRDefault="00A12A17" w:rsidP="00A12A17">
      <w:pPr>
        <w:rPr>
          <w:rFonts w:ascii="Garamond" w:hAnsi="Garamond"/>
          <w:b/>
          <w:bCs/>
          <w:szCs w:val="22"/>
        </w:rPr>
      </w:pPr>
    </w:p>
    <w:p w:rsidR="00A12A17" w:rsidRPr="002A058E" w:rsidRDefault="00A12A17" w:rsidP="00A12A17">
      <w:pPr>
        <w:rPr>
          <w:rFonts w:ascii="Garamond" w:hAnsi="Garamond"/>
          <w:b/>
          <w:bCs/>
          <w:szCs w:val="22"/>
        </w:rPr>
      </w:pPr>
      <w:r>
        <w:rPr>
          <w:rFonts w:ascii="Garamond" w:hAnsi="Garamond"/>
          <w:b/>
          <w:bCs/>
          <w:szCs w:val="22"/>
        </w:rPr>
        <w:br w:type="page"/>
      </w:r>
      <w:r w:rsidRPr="002A058E">
        <w:rPr>
          <w:rFonts w:ascii="Garamond" w:hAnsi="Garamond"/>
          <w:b/>
          <w:bCs/>
          <w:szCs w:val="22"/>
        </w:rPr>
        <w:t>Figure 6: Movement of the US Dollar Index and MSCI EM Currency Index</w:t>
      </w:r>
    </w:p>
    <w:p w:rsidR="00A12A17" w:rsidRPr="002A058E" w:rsidRDefault="00A12A17" w:rsidP="00A12A17">
      <w:pPr>
        <w:spacing w:line="23" w:lineRule="atLeast"/>
        <w:outlineLvl w:val="0"/>
        <w:rPr>
          <w:rFonts w:ascii="Garamond" w:hAnsi="Garamond"/>
          <w:bCs/>
          <w:sz w:val="22"/>
          <w:szCs w:val="22"/>
        </w:rPr>
      </w:pPr>
    </w:p>
    <w:p w:rsidR="00A12A17" w:rsidRPr="002A058E" w:rsidRDefault="00A12A17" w:rsidP="00A12A17">
      <w:pPr>
        <w:spacing w:line="23" w:lineRule="atLeast"/>
        <w:outlineLvl w:val="0"/>
        <w:rPr>
          <w:rFonts w:ascii="Garamond" w:hAnsi="Garamond"/>
          <w:bCs/>
          <w:sz w:val="22"/>
          <w:szCs w:val="22"/>
        </w:rPr>
      </w:pPr>
      <w:r w:rsidRPr="00797A8B">
        <w:rPr>
          <w:rFonts w:ascii="Garamond" w:hAnsi="Garamond"/>
          <w:bCs/>
          <w:noProof/>
          <w:sz w:val="22"/>
          <w:szCs w:val="22"/>
          <w:lang w:val="en-IN" w:eastAsia="en-IN" w:bidi="hi-IN"/>
        </w:rPr>
        <w:drawing>
          <wp:inline distT="0" distB="0" distL="0" distR="0">
            <wp:extent cx="6200775" cy="312420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200775" cy="3124200"/>
                    </a:xfrm>
                    <a:prstGeom prst="rect">
                      <a:avLst/>
                    </a:prstGeom>
                    <a:noFill/>
                    <a:ln>
                      <a:noFill/>
                    </a:ln>
                  </pic:spPr>
                </pic:pic>
              </a:graphicData>
            </a:graphic>
          </wp:inline>
        </w:drawing>
      </w:r>
    </w:p>
    <w:p w:rsidR="00A12A17" w:rsidRPr="002A058E" w:rsidRDefault="00A12A17" w:rsidP="00A12A17">
      <w:pPr>
        <w:tabs>
          <w:tab w:val="left" w:pos="3760"/>
        </w:tabs>
        <w:spacing w:line="23" w:lineRule="atLeast"/>
        <w:rPr>
          <w:rFonts w:ascii="Garamond" w:hAnsi="Garamond"/>
          <w:bCs/>
          <w:sz w:val="18"/>
          <w:szCs w:val="18"/>
        </w:rPr>
      </w:pPr>
      <w:r w:rsidRPr="002A058E">
        <w:rPr>
          <w:rFonts w:ascii="Garamond" w:hAnsi="Garamond"/>
          <w:bCs/>
          <w:sz w:val="18"/>
          <w:szCs w:val="18"/>
        </w:rPr>
        <w:t>Note:</w:t>
      </w:r>
    </w:p>
    <w:p w:rsidR="00A12A17" w:rsidRPr="002A058E" w:rsidRDefault="00A12A17" w:rsidP="00A12A17">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 xml:space="preserve">All indices have been </w:t>
      </w:r>
      <w:r>
        <w:rPr>
          <w:rFonts w:ascii="Garamond" w:eastAsia="Times New Roman" w:hAnsi="Garamond"/>
          <w:bCs/>
          <w:sz w:val="18"/>
          <w:szCs w:val="18"/>
        </w:rPr>
        <w:t>normalised to 100 on 31 March 2020</w:t>
      </w:r>
      <w:r w:rsidRPr="002A058E">
        <w:rPr>
          <w:rFonts w:ascii="Garamond" w:eastAsia="Times New Roman" w:hAnsi="Garamond"/>
          <w:bCs/>
          <w:sz w:val="18"/>
          <w:szCs w:val="18"/>
        </w:rPr>
        <w:t>.</w:t>
      </w:r>
    </w:p>
    <w:p w:rsidR="00A12A17" w:rsidRPr="002A058E" w:rsidRDefault="00A12A17" w:rsidP="00A12A17">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The U.S. Dollar Index is an index of the value of the United States dollar relative to a basket of foreign currencies. The Index goes up when the U.S. dollar gains value compared to other currencies. The index is maintained and published by Intercontinental Exchange. It is a weighted geometric mean of the dollar's value relative to following select currencies: Euro, Japanese yen, Pound sterling, Canadian dollar, Swedish krona, Swiss franc.</w:t>
      </w:r>
    </w:p>
    <w:p w:rsidR="00A12A17" w:rsidRPr="002A058E" w:rsidRDefault="00A12A17" w:rsidP="00A12A17">
      <w:pPr>
        <w:widowControl w:val="0"/>
        <w:numPr>
          <w:ilvl w:val="0"/>
          <w:numId w:val="7"/>
        </w:numPr>
        <w:autoSpaceDE w:val="0"/>
        <w:autoSpaceDN w:val="0"/>
        <w:adjustRightInd w:val="0"/>
        <w:spacing w:line="23" w:lineRule="atLeast"/>
        <w:ind w:right="1788"/>
        <w:jc w:val="both"/>
        <w:rPr>
          <w:rFonts w:ascii="Garamond" w:eastAsia="Times New Roman" w:hAnsi="Garamond"/>
          <w:bCs/>
          <w:sz w:val="18"/>
          <w:szCs w:val="18"/>
        </w:rPr>
      </w:pPr>
      <w:r w:rsidRPr="002A058E">
        <w:rPr>
          <w:rFonts w:ascii="Garamond" w:eastAsia="Times New Roman" w:hAnsi="Garamond"/>
          <w:bCs/>
          <w:sz w:val="18"/>
          <w:szCs w:val="18"/>
        </w:rPr>
        <w:t>The MSCI Emerging Markets (EM) Currency Index tracks the performance of twenty-five emerging-market currencies relative to the US Dollar.</w:t>
      </w:r>
    </w:p>
    <w:p w:rsidR="00A12A17" w:rsidRPr="002A058E" w:rsidRDefault="00A12A17" w:rsidP="00A12A17">
      <w:pPr>
        <w:spacing w:line="23" w:lineRule="atLeast"/>
        <w:outlineLvl w:val="0"/>
        <w:rPr>
          <w:rFonts w:ascii="Garamond" w:hAnsi="Garamond"/>
          <w:bCs/>
          <w:sz w:val="18"/>
          <w:szCs w:val="18"/>
        </w:rPr>
      </w:pPr>
      <w:r w:rsidRPr="002A058E">
        <w:rPr>
          <w:rFonts w:ascii="Garamond" w:hAnsi="Garamond"/>
          <w:bCs/>
          <w:sz w:val="18"/>
          <w:szCs w:val="18"/>
        </w:rPr>
        <w:t>Source: Refinitiv</w:t>
      </w:r>
    </w:p>
    <w:p w:rsidR="00A12A17" w:rsidRPr="002A058E" w:rsidRDefault="00A12A17" w:rsidP="00A12A17">
      <w:pPr>
        <w:spacing w:after="240" w:line="23" w:lineRule="atLeast"/>
        <w:jc w:val="both"/>
        <w:rPr>
          <w:rFonts w:ascii="Garamond" w:eastAsia="Times New Roman" w:hAnsi="Garamond"/>
          <w:bCs/>
          <w:sz w:val="18"/>
          <w:szCs w:val="18"/>
          <w:lang w:eastAsia="en-GB"/>
        </w:rPr>
      </w:pPr>
    </w:p>
    <w:p w:rsidR="00A12A17" w:rsidRPr="002A058E" w:rsidRDefault="00A12A17" w:rsidP="00A12A17">
      <w:pPr>
        <w:spacing w:after="240" w:line="23" w:lineRule="atLeast"/>
        <w:jc w:val="both"/>
        <w:rPr>
          <w:rFonts w:ascii="Garamond" w:eastAsia="Times New Roman" w:hAnsi="Garamond"/>
          <w:bCs/>
          <w:sz w:val="18"/>
          <w:szCs w:val="18"/>
          <w:lang w:eastAsia="en-GB"/>
        </w:rPr>
      </w:pPr>
    </w:p>
    <w:p w:rsidR="00A12A17" w:rsidRPr="002A058E" w:rsidRDefault="00A12A17" w:rsidP="00A12A17">
      <w:pPr>
        <w:rPr>
          <w:rFonts w:ascii="Garamond" w:hAnsi="Garamond"/>
          <w:b/>
          <w:bCs/>
          <w:szCs w:val="22"/>
        </w:rPr>
      </w:pPr>
    </w:p>
    <w:p w:rsidR="00A12A17" w:rsidRPr="00073FE2" w:rsidRDefault="00A12A17" w:rsidP="00A12A17">
      <w:pPr>
        <w:rPr>
          <w:rFonts w:ascii="Garamond" w:hAnsi="Garamond"/>
          <w:b/>
          <w:bCs/>
          <w:strike/>
          <w:szCs w:val="22"/>
        </w:rPr>
        <w:sectPr w:rsidR="00A12A17" w:rsidRPr="00073FE2" w:rsidSect="00332F86">
          <w:headerReference w:type="even" r:id="rId42"/>
          <w:headerReference w:type="default" r:id="rId43"/>
          <w:footerReference w:type="even" r:id="rId44"/>
          <w:footerReference w:type="default" r:id="rId45"/>
          <w:pgSz w:w="11906" w:h="16838" w:code="9"/>
          <w:pgMar w:top="578" w:right="1009" w:bottom="578" w:left="1009" w:header="431" w:footer="431" w:gutter="0"/>
          <w:cols w:space="720"/>
          <w:docGrid w:linePitch="360"/>
        </w:sectPr>
      </w:pPr>
    </w:p>
    <w:p w:rsidR="00A12A17" w:rsidRPr="001972CA" w:rsidRDefault="00A12A17" w:rsidP="00A12A17">
      <w:pPr>
        <w:rPr>
          <w:rFonts w:ascii="Garamond" w:hAnsi="Garamond"/>
          <w:b/>
          <w:bCs/>
          <w:szCs w:val="22"/>
        </w:rPr>
      </w:pPr>
      <w:r w:rsidRPr="001972CA">
        <w:rPr>
          <w:rFonts w:ascii="Garamond" w:hAnsi="Garamond"/>
          <w:b/>
          <w:bCs/>
          <w:szCs w:val="22"/>
        </w:rPr>
        <w:t>Table A1: Performance of Stock Indices</w:t>
      </w:r>
    </w:p>
    <w:tbl>
      <w:tblPr>
        <w:tblW w:w="14015" w:type="dxa"/>
        <w:tblLook w:val="04A0" w:firstRow="1" w:lastRow="0" w:firstColumn="1" w:lastColumn="0" w:noHBand="0" w:noVBand="1"/>
      </w:tblPr>
      <w:tblGrid>
        <w:gridCol w:w="1226"/>
        <w:gridCol w:w="3154"/>
        <w:gridCol w:w="2199"/>
        <w:gridCol w:w="1227"/>
        <w:gridCol w:w="1227"/>
        <w:gridCol w:w="1125"/>
        <w:gridCol w:w="1125"/>
        <w:gridCol w:w="1793"/>
        <w:gridCol w:w="939"/>
      </w:tblGrid>
      <w:tr w:rsidR="00A12A17" w:rsidRPr="00797A8B" w:rsidTr="00A91C39">
        <w:trPr>
          <w:trHeight w:val="243"/>
        </w:trPr>
        <w:tc>
          <w:tcPr>
            <w:tcW w:w="1226"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Country</w:t>
            </w:r>
          </w:p>
        </w:tc>
        <w:tc>
          <w:tcPr>
            <w:tcW w:w="3154"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Name of the Index</w:t>
            </w:r>
          </w:p>
        </w:tc>
        <w:tc>
          <w:tcPr>
            <w:tcW w:w="2199" w:type="dxa"/>
            <w:tcBorders>
              <w:top w:val="single" w:sz="8" w:space="0" w:color="auto"/>
              <w:left w:val="nil"/>
              <w:bottom w:val="nil"/>
              <w:right w:val="single" w:sz="8" w:space="0" w:color="auto"/>
            </w:tcBorders>
            <w:shd w:val="clear" w:color="000000" w:fill="B4C6E7"/>
            <w:noWrap/>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Closing Value as on</w:t>
            </w:r>
          </w:p>
        </w:tc>
        <w:tc>
          <w:tcPr>
            <w:tcW w:w="4704" w:type="dxa"/>
            <w:gridSpan w:val="4"/>
            <w:tcBorders>
              <w:top w:val="single" w:sz="8" w:space="0" w:color="auto"/>
              <w:left w:val="nil"/>
              <w:bottom w:val="single" w:sz="8" w:space="0" w:color="auto"/>
              <w:right w:val="single" w:sz="8" w:space="0" w:color="000000"/>
            </w:tcBorders>
            <w:shd w:val="clear" w:color="000000" w:fill="B4C6E7"/>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Closing Value before</w:t>
            </w:r>
          </w:p>
        </w:tc>
        <w:tc>
          <w:tcPr>
            <w:tcW w:w="1793"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Monthly Volatility (Annualised)</w:t>
            </w:r>
          </w:p>
        </w:tc>
        <w:tc>
          <w:tcPr>
            <w:tcW w:w="939" w:type="dxa"/>
            <w:vMerge w:val="restart"/>
            <w:tcBorders>
              <w:top w:val="single" w:sz="8" w:space="0" w:color="auto"/>
              <w:left w:val="single" w:sz="8" w:space="0" w:color="auto"/>
              <w:bottom w:val="single" w:sz="8" w:space="0" w:color="000000"/>
              <w:right w:val="single" w:sz="8" w:space="0" w:color="auto"/>
            </w:tcBorders>
            <w:shd w:val="clear" w:color="000000" w:fill="B4C6E7"/>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P/E Ratio</w:t>
            </w:r>
          </w:p>
        </w:tc>
      </w:tr>
      <w:tr w:rsidR="00A12A17" w:rsidRPr="00797A8B" w:rsidTr="00A91C39">
        <w:trPr>
          <w:trHeight w:val="243"/>
        </w:trPr>
        <w:tc>
          <w:tcPr>
            <w:tcW w:w="1226" w:type="dxa"/>
            <w:vMerge/>
            <w:tcBorders>
              <w:top w:val="single" w:sz="8" w:space="0" w:color="auto"/>
              <w:left w:val="single" w:sz="8" w:space="0" w:color="auto"/>
              <w:bottom w:val="single" w:sz="8" w:space="0" w:color="000000"/>
              <w:right w:val="single" w:sz="8" w:space="0" w:color="auto"/>
            </w:tcBorders>
            <w:vAlign w:val="center"/>
            <w:hideMark/>
          </w:tcPr>
          <w:p w:rsidR="00A12A17" w:rsidRPr="00663D86" w:rsidRDefault="00A12A17" w:rsidP="00A91C39">
            <w:pPr>
              <w:rPr>
                <w:rFonts w:ascii="Garamond" w:eastAsia="Times New Roman" w:hAnsi="Garamond" w:cs="Calibri"/>
                <w:b/>
                <w:bCs/>
                <w:color w:val="000000"/>
                <w:sz w:val="20"/>
                <w:szCs w:val="20"/>
                <w:lang w:val="en-US" w:bidi="hi-IN"/>
              </w:rPr>
            </w:pPr>
          </w:p>
        </w:tc>
        <w:tc>
          <w:tcPr>
            <w:tcW w:w="3154" w:type="dxa"/>
            <w:vMerge/>
            <w:tcBorders>
              <w:top w:val="single" w:sz="8" w:space="0" w:color="auto"/>
              <w:left w:val="single" w:sz="8" w:space="0" w:color="auto"/>
              <w:bottom w:val="single" w:sz="8" w:space="0" w:color="000000"/>
              <w:right w:val="single" w:sz="8" w:space="0" w:color="auto"/>
            </w:tcBorders>
            <w:vAlign w:val="center"/>
            <w:hideMark/>
          </w:tcPr>
          <w:p w:rsidR="00A12A17" w:rsidRPr="00663D86" w:rsidRDefault="00A12A17" w:rsidP="00A91C39">
            <w:pPr>
              <w:rPr>
                <w:rFonts w:ascii="Garamond" w:eastAsia="Times New Roman" w:hAnsi="Garamond" w:cs="Calibri"/>
                <w:b/>
                <w:bCs/>
                <w:color w:val="000000"/>
                <w:sz w:val="20"/>
                <w:szCs w:val="20"/>
                <w:lang w:val="en-US" w:bidi="hi-IN"/>
              </w:rPr>
            </w:pPr>
          </w:p>
        </w:tc>
        <w:tc>
          <w:tcPr>
            <w:tcW w:w="2199" w:type="dxa"/>
            <w:tcBorders>
              <w:top w:val="nil"/>
              <w:left w:val="nil"/>
              <w:bottom w:val="single" w:sz="8" w:space="0" w:color="auto"/>
              <w:right w:val="single" w:sz="8" w:space="0" w:color="auto"/>
            </w:tcBorders>
            <w:shd w:val="clear" w:color="000000" w:fill="B4C6E7"/>
            <w:noWrap/>
            <w:hideMark/>
          </w:tcPr>
          <w:p w:rsidR="00A12A17" w:rsidRPr="00F405DE" w:rsidRDefault="00A12A17" w:rsidP="00A91C39">
            <w:pPr>
              <w:jc w:val="center"/>
              <w:rPr>
                <w:rFonts w:ascii="Garamond" w:eastAsia="Times New Roman" w:hAnsi="Garamond" w:cs="Calibri"/>
                <w:b/>
                <w:bCs/>
                <w:color w:val="000000"/>
                <w:sz w:val="20"/>
                <w:szCs w:val="20"/>
                <w:lang w:val="en-US" w:bidi="hi-IN"/>
              </w:rPr>
            </w:pPr>
            <w:r>
              <w:rPr>
                <w:rFonts w:ascii="Garamond" w:eastAsia="Times New Roman" w:hAnsi="Garamond" w:cs="Calibri"/>
                <w:b/>
                <w:bCs/>
                <w:color w:val="000000"/>
                <w:sz w:val="20"/>
                <w:szCs w:val="20"/>
                <w:lang w:val="en-US" w:bidi="hi-IN"/>
              </w:rPr>
              <w:t>31</w:t>
            </w:r>
            <w:r w:rsidRPr="00F405DE">
              <w:rPr>
                <w:rFonts w:ascii="Garamond" w:eastAsia="Times New Roman" w:hAnsi="Garamond" w:cs="Calibri"/>
                <w:b/>
                <w:bCs/>
                <w:color w:val="000000"/>
                <w:sz w:val="20"/>
                <w:szCs w:val="20"/>
                <w:lang w:val="en-US" w:bidi="hi-IN"/>
              </w:rPr>
              <w:t>-</w:t>
            </w:r>
            <w:r>
              <w:rPr>
                <w:rFonts w:ascii="Garamond" w:eastAsia="Times New Roman" w:hAnsi="Garamond" w:cs="Calibri"/>
                <w:b/>
                <w:bCs/>
                <w:color w:val="000000"/>
                <w:sz w:val="20"/>
                <w:szCs w:val="20"/>
                <w:lang w:val="en-US" w:bidi="hi-IN"/>
              </w:rPr>
              <w:t>Mar</w:t>
            </w:r>
            <w:r w:rsidRPr="00F405DE">
              <w:rPr>
                <w:rFonts w:ascii="Garamond" w:eastAsia="Times New Roman" w:hAnsi="Garamond" w:cs="Calibri"/>
                <w:b/>
                <w:bCs/>
                <w:color w:val="000000"/>
                <w:sz w:val="20"/>
                <w:szCs w:val="20"/>
                <w:lang w:val="en-US" w:bidi="hi-IN"/>
              </w:rPr>
              <w:t>-21</w:t>
            </w:r>
          </w:p>
        </w:tc>
        <w:tc>
          <w:tcPr>
            <w:tcW w:w="1227" w:type="dxa"/>
            <w:tcBorders>
              <w:top w:val="nil"/>
              <w:left w:val="nil"/>
              <w:bottom w:val="single" w:sz="8" w:space="0" w:color="auto"/>
              <w:right w:val="single" w:sz="8" w:space="0" w:color="auto"/>
            </w:tcBorders>
            <w:shd w:val="clear" w:color="000000" w:fill="B4C6E7"/>
            <w:noWrap/>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1-Month</w:t>
            </w:r>
          </w:p>
        </w:tc>
        <w:tc>
          <w:tcPr>
            <w:tcW w:w="1227" w:type="dxa"/>
            <w:tcBorders>
              <w:top w:val="nil"/>
              <w:left w:val="nil"/>
              <w:bottom w:val="single" w:sz="8" w:space="0" w:color="auto"/>
              <w:right w:val="single" w:sz="8" w:space="0" w:color="auto"/>
            </w:tcBorders>
            <w:shd w:val="clear" w:color="000000" w:fill="B4C6E7"/>
            <w:noWrap/>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3-Month</w:t>
            </w:r>
          </w:p>
        </w:tc>
        <w:tc>
          <w:tcPr>
            <w:tcW w:w="1125" w:type="dxa"/>
            <w:tcBorders>
              <w:top w:val="nil"/>
              <w:left w:val="nil"/>
              <w:bottom w:val="single" w:sz="8" w:space="0" w:color="auto"/>
              <w:right w:val="single" w:sz="8" w:space="0" w:color="auto"/>
            </w:tcBorders>
            <w:shd w:val="clear" w:color="000000" w:fill="B4C6E7"/>
            <w:noWrap/>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6-Month</w:t>
            </w:r>
          </w:p>
        </w:tc>
        <w:tc>
          <w:tcPr>
            <w:tcW w:w="1125" w:type="dxa"/>
            <w:tcBorders>
              <w:top w:val="nil"/>
              <w:left w:val="nil"/>
              <w:bottom w:val="single" w:sz="8" w:space="0" w:color="auto"/>
              <w:right w:val="single" w:sz="8" w:space="0" w:color="auto"/>
            </w:tcBorders>
            <w:shd w:val="clear" w:color="000000" w:fill="B4C6E7"/>
            <w:noWrap/>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1-Year</w:t>
            </w:r>
          </w:p>
        </w:tc>
        <w:tc>
          <w:tcPr>
            <w:tcW w:w="1793" w:type="dxa"/>
            <w:vMerge/>
            <w:tcBorders>
              <w:top w:val="single" w:sz="8" w:space="0" w:color="auto"/>
              <w:left w:val="single" w:sz="8" w:space="0" w:color="auto"/>
              <w:bottom w:val="single" w:sz="8" w:space="0" w:color="000000"/>
              <w:right w:val="single" w:sz="8" w:space="0" w:color="auto"/>
            </w:tcBorders>
            <w:vAlign w:val="center"/>
            <w:hideMark/>
          </w:tcPr>
          <w:p w:rsidR="00A12A17" w:rsidRPr="00663D86" w:rsidRDefault="00A12A17" w:rsidP="00A91C39">
            <w:pPr>
              <w:rPr>
                <w:rFonts w:ascii="Garamond" w:eastAsia="Times New Roman" w:hAnsi="Garamond" w:cs="Calibri"/>
                <w:b/>
                <w:bCs/>
                <w:color w:val="000000"/>
                <w:sz w:val="20"/>
                <w:szCs w:val="20"/>
                <w:lang w:val="en-US" w:bidi="hi-IN"/>
              </w:rPr>
            </w:pPr>
          </w:p>
        </w:tc>
        <w:tc>
          <w:tcPr>
            <w:tcW w:w="939" w:type="dxa"/>
            <w:vMerge/>
            <w:tcBorders>
              <w:top w:val="single" w:sz="8" w:space="0" w:color="auto"/>
              <w:left w:val="single" w:sz="8" w:space="0" w:color="auto"/>
              <w:bottom w:val="single" w:sz="8" w:space="0" w:color="000000"/>
              <w:right w:val="single" w:sz="8" w:space="0" w:color="auto"/>
            </w:tcBorders>
            <w:vAlign w:val="center"/>
            <w:hideMark/>
          </w:tcPr>
          <w:p w:rsidR="00A12A17" w:rsidRPr="00663D86" w:rsidRDefault="00A12A17" w:rsidP="00A91C39">
            <w:pPr>
              <w:rPr>
                <w:rFonts w:ascii="Garamond" w:eastAsia="Times New Roman" w:hAnsi="Garamond" w:cs="Calibri"/>
                <w:b/>
                <w:bCs/>
                <w:color w:val="000000"/>
                <w:sz w:val="20"/>
                <w:szCs w:val="20"/>
                <w:lang w:val="en-US" w:bidi="hi-IN"/>
              </w:rPr>
            </w:pPr>
          </w:p>
        </w:tc>
      </w:tr>
      <w:tr w:rsidR="00A12A17" w:rsidRPr="00797A8B" w:rsidTr="00A91C39">
        <w:trPr>
          <w:trHeight w:val="243"/>
        </w:trPr>
        <w:tc>
          <w:tcPr>
            <w:tcW w:w="14015" w:type="dxa"/>
            <w:gridSpan w:val="9"/>
            <w:tcBorders>
              <w:top w:val="single" w:sz="8" w:space="0" w:color="auto"/>
              <w:left w:val="single" w:sz="8" w:space="0" w:color="auto"/>
              <w:bottom w:val="single" w:sz="8" w:space="0" w:color="auto"/>
              <w:right w:val="single" w:sz="8" w:space="0" w:color="000000"/>
            </w:tcBorders>
            <w:shd w:val="clear" w:color="000000" w:fill="D9E1F2"/>
            <w:noWrap/>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BRICS Nations</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Brazil</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BRAZIL IBOVESPA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116633.7</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110035.2</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119017.2</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94603.4</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73019.8</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23.0</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17.8</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Russia</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RUSSIAN TRADED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1936.4</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1837.2</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1802.3</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1488.1</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1383.6</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25.8</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18.3</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India</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Nifty 50</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14690.7</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14529.2</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13981.8</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11247.6</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8597.8</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18.5</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797A8B">
              <w:rPr>
                <w:rFonts w:ascii="Garamond" w:hAnsi="Garamond" w:cs="Calibri"/>
                <w:sz w:val="20"/>
                <w:szCs w:val="20"/>
              </w:rPr>
              <w:t>33.2</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India</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S&amp;P BSE SENSEX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49509.2</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49100.0</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47751.3</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38067.9</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29468.5</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18.6</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797A8B">
              <w:rPr>
                <w:rFonts w:ascii="Garamond" w:hAnsi="Garamond" w:cs="Calibri"/>
                <w:sz w:val="20"/>
                <w:szCs w:val="20"/>
              </w:rPr>
              <w:t>34.4</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China</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SHANGHAI SE COMPOSITE</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3441.9</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3509.1</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3473.1</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3218.1</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2750.3</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20.2</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13.8</w:t>
            </w:r>
          </w:p>
        </w:tc>
      </w:tr>
      <w:tr w:rsidR="00A12A17" w:rsidRPr="00797A8B" w:rsidTr="00A91C39">
        <w:trPr>
          <w:trHeight w:val="243"/>
        </w:trPr>
        <w:tc>
          <w:tcPr>
            <w:tcW w:w="1226" w:type="dxa"/>
            <w:tcBorders>
              <w:top w:val="nil"/>
              <w:left w:val="single" w:sz="8" w:space="0" w:color="auto"/>
              <w:bottom w:val="single" w:sz="8" w:space="0" w:color="auto"/>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South Africa</w:t>
            </w:r>
          </w:p>
        </w:tc>
        <w:tc>
          <w:tcPr>
            <w:tcW w:w="3154" w:type="dxa"/>
            <w:tcBorders>
              <w:top w:val="nil"/>
              <w:left w:val="nil"/>
              <w:bottom w:val="single" w:sz="8" w:space="0" w:color="auto"/>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FTSE/JSE AFRICA ALL SHR</w:t>
            </w:r>
          </w:p>
        </w:tc>
        <w:tc>
          <w:tcPr>
            <w:tcW w:w="2199"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66485.3</w:t>
            </w:r>
          </w:p>
        </w:tc>
        <w:tc>
          <w:tcPr>
            <w:tcW w:w="1227"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66138.1</w:t>
            </w:r>
          </w:p>
        </w:tc>
        <w:tc>
          <w:tcPr>
            <w:tcW w:w="1227"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59408.7</w:t>
            </w:r>
          </w:p>
        </w:tc>
        <w:tc>
          <w:tcPr>
            <w:tcW w:w="1125"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54265.0</w:t>
            </w:r>
          </w:p>
        </w:tc>
        <w:tc>
          <w:tcPr>
            <w:tcW w:w="1125"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44490.3</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16.8</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17.1</w:t>
            </w:r>
          </w:p>
        </w:tc>
      </w:tr>
      <w:tr w:rsidR="00A12A17" w:rsidRPr="00797A8B" w:rsidTr="00A91C39">
        <w:trPr>
          <w:trHeight w:val="255"/>
        </w:trPr>
        <w:tc>
          <w:tcPr>
            <w:tcW w:w="14015" w:type="dxa"/>
            <w:gridSpan w:val="9"/>
            <w:tcBorders>
              <w:top w:val="single" w:sz="8" w:space="0" w:color="auto"/>
              <w:left w:val="single" w:sz="8" w:space="0" w:color="auto"/>
              <w:bottom w:val="single" w:sz="8" w:space="0" w:color="auto"/>
              <w:right w:val="single" w:sz="8" w:space="0" w:color="000000"/>
            </w:tcBorders>
            <w:shd w:val="clear" w:color="000000" w:fill="D9E1F2"/>
            <w:hideMark/>
          </w:tcPr>
          <w:p w:rsidR="00A12A17" w:rsidRPr="00663D86" w:rsidRDefault="00A12A17" w:rsidP="00A91C39">
            <w:pPr>
              <w:jc w:val="center"/>
              <w:rPr>
                <w:rFonts w:ascii="Garamond" w:eastAsia="Times New Roman" w:hAnsi="Garamond" w:cs="Calibri"/>
                <w:b/>
                <w:bCs/>
                <w:color w:val="000000"/>
                <w:sz w:val="20"/>
                <w:szCs w:val="20"/>
                <w:lang w:val="en-US" w:bidi="hi-IN"/>
              </w:rPr>
            </w:pPr>
            <w:r w:rsidRPr="00663D86">
              <w:rPr>
                <w:rFonts w:ascii="Garamond" w:eastAsia="Times New Roman" w:hAnsi="Garamond" w:cs="Calibri"/>
                <w:b/>
                <w:bCs/>
                <w:color w:val="000000"/>
                <w:sz w:val="20"/>
                <w:szCs w:val="20"/>
                <w:lang w:val="en-US" w:bidi="hi-IN"/>
              </w:rPr>
              <w:t>Developed Markets</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USA</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NASDAQ COMPOSITE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13246.9</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13192.3</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12888.3</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11167.5</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7700.1</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28.5</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NA</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USA</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DOW JONES INDUS. AVG</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32981.6</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30932.4</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30606.5</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27781.7</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21917.2</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13.3</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25.0</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France</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CAC 40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6067.2</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5703.2</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5551.4</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4803.4</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4396.1</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11.3</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25.4</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Germany</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DAX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15008.3</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13786.3</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13718.8</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12760.7</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9935.8</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14.1</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23.2</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UK</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FTSE 100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6713.6</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6483.4</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6460.5</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5866.1</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5672.0</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10.5</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19.0</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Hong Kong</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HANG SENG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28378.4</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28980.2</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27231.1</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23459.1</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23603.5</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21.5</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14.6</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South Korea</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KOSPI </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3061.4</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3013.0</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2873.5</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2327.9</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1754.6</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13.9</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NA</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Japan</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NIKKEI 225</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29178.8</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28966.0</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27444.2</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23185.1</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18917.0</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19.0</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24.6</w:t>
            </w:r>
          </w:p>
        </w:tc>
      </w:tr>
      <w:tr w:rsidR="00A12A17" w:rsidRPr="00797A8B" w:rsidTr="00A91C39">
        <w:trPr>
          <w:trHeight w:val="233"/>
        </w:trPr>
        <w:tc>
          <w:tcPr>
            <w:tcW w:w="1226" w:type="dxa"/>
            <w:tcBorders>
              <w:top w:val="nil"/>
              <w:left w:val="single" w:sz="8" w:space="0" w:color="auto"/>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Singapore</w:t>
            </w:r>
          </w:p>
        </w:tc>
        <w:tc>
          <w:tcPr>
            <w:tcW w:w="3154" w:type="dxa"/>
            <w:tcBorders>
              <w:top w:val="nil"/>
              <w:left w:val="nil"/>
              <w:bottom w:val="nil"/>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STRAITS TIMES  STI</w:t>
            </w:r>
          </w:p>
        </w:tc>
        <w:tc>
          <w:tcPr>
            <w:tcW w:w="219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3165.3</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2949.0</w:t>
            </w:r>
          </w:p>
        </w:tc>
        <w:tc>
          <w:tcPr>
            <w:tcW w:w="1227"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2843.8</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2466.6</w:t>
            </w:r>
          </w:p>
        </w:tc>
        <w:tc>
          <w:tcPr>
            <w:tcW w:w="1125"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2481.2</w:t>
            </w:r>
          </w:p>
        </w:tc>
        <w:tc>
          <w:tcPr>
            <w:tcW w:w="1793"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9.8</w:t>
            </w:r>
          </w:p>
        </w:tc>
        <w:tc>
          <w:tcPr>
            <w:tcW w:w="939" w:type="dxa"/>
            <w:tcBorders>
              <w:top w:val="nil"/>
              <w:left w:val="nil"/>
              <w:bottom w:val="nil"/>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18.5</w:t>
            </w:r>
          </w:p>
        </w:tc>
      </w:tr>
      <w:tr w:rsidR="00A12A17" w:rsidRPr="00797A8B" w:rsidTr="00A91C39">
        <w:trPr>
          <w:trHeight w:val="243"/>
        </w:trPr>
        <w:tc>
          <w:tcPr>
            <w:tcW w:w="1226" w:type="dxa"/>
            <w:tcBorders>
              <w:top w:val="nil"/>
              <w:left w:val="single" w:sz="8" w:space="0" w:color="auto"/>
              <w:bottom w:val="single" w:sz="8" w:space="0" w:color="auto"/>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20"/>
                <w:szCs w:val="20"/>
                <w:lang w:val="en-US" w:bidi="hi-IN"/>
              </w:rPr>
            </w:pPr>
            <w:r w:rsidRPr="00663D86">
              <w:rPr>
                <w:rFonts w:ascii="Garamond" w:eastAsia="Times New Roman" w:hAnsi="Garamond" w:cs="Calibri"/>
                <w:color w:val="000000"/>
                <w:sz w:val="20"/>
                <w:szCs w:val="20"/>
                <w:lang w:val="en-US" w:bidi="hi-IN"/>
              </w:rPr>
              <w:t>Taiwan</w:t>
            </w:r>
          </w:p>
        </w:tc>
        <w:tc>
          <w:tcPr>
            <w:tcW w:w="3154" w:type="dxa"/>
            <w:tcBorders>
              <w:top w:val="nil"/>
              <w:left w:val="nil"/>
              <w:bottom w:val="single" w:sz="8" w:space="0" w:color="auto"/>
              <w:right w:val="single" w:sz="8" w:space="0" w:color="auto"/>
            </w:tcBorders>
            <w:shd w:val="clear" w:color="000000" w:fill="D9E1F2"/>
            <w:noWrap/>
            <w:hideMark/>
          </w:tcPr>
          <w:p w:rsidR="00A12A17" w:rsidRPr="00663D86" w:rsidRDefault="00A12A17" w:rsidP="00A91C39">
            <w:pPr>
              <w:rPr>
                <w:rFonts w:ascii="Garamond" w:eastAsia="Times New Roman" w:hAnsi="Garamond" w:cs="Calibri"/>
                <w:color w:val="000000"/>
                <w:sz w:val="18"/>
                <w:szCs w:val="18"/>
                <w:lang w:val="en-US" w:bidi="hi-IN"/>
              </w:rPr>
            </w:pPr>
            <w:r w:rsidRPr="00663D86">
              <w:rPr>
                <w:rFonts w:ascii="Garamond" w:eastAsia="Times New Roman" w:hAnsi="Garamond" w:cs="Calibri"/>
                <w:color w:val="000000"/>
                <w:sz w:val="18"/>
                <w:szCs w:val="18"/>
                <w:lang w:val="en-US" w:bidi="hi-IN"/>
              </w:rPr>
              <w:t xml:space="preserve">TAIWAN TAIEX </w:t>
            </w:r>
          </w:p>
        </w:tc>
        <w:tc>
          <w:tcPr>
            <w:tcW w:w="2199"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16431.1</w:t>
            </w:r>
          </w:p>
        </w:tc>
        <w:tc>
          <w:tcPr>
            <w:tcW w:w="1227"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15953.8</w:t>
            </w:r>
          </w:p>
        </w:tc>
        <w:tc>
          <w:tcPr>
            <w:tcW w:w="1227"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14732.5</w:t>
            </w:r>
          </w:p>
        </w:tc>
        <w:tc>
          <w:tcPr>
            <w:tcW w:w="1125"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12515.6</w:t>
            </w:r>
          </w:p>
        </w:tc>
        <w:tc>
          <w:tcPr>
            <w:tcW w:w="1125"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9708.1</w:t>
            </w:r>
          </w:p>
        </w:tc>
        <w:tc>
          <w:tcPr>
            <w:tcW w:w="1793"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13.8</w:t>
            </w:r>
          </w:p>
        </w:tc>
        <w:tc>
          <w:tcPr>
            <w:tcW w:w="939" w:type="dxa"/>
            <w:tcBorders>
              <w:top w:val="nil"/>
              <w:left w:val="nil"/>
              <w:bottom w:val="single" w:sz="8" w:space="0" w:color="auto"/>
              <w:right w:val="single" w:sz="8" w:space="0" w:color="auto"/>
            </w:tcBorders>
            <w:shd w:val="clear" w:color="auto" w:fill="auto"/>
            <w:noWrap/>
            <w:hideMark/>
          </w:tcPr>
          <w:p w:rsidR="00A12A17" w:rsidRPr="00663D86" w:rsidRDefault="00A12A17" w:rsidP="00A91C39">
            <w:pPr>
              <w:ind w:firstLineChars="100" w:firstLine="200"/>
              <w:jc w:val="right"/>
              <w:rPr>
                <w:rFonts w:ascii="Garamond" w:eastAsia="Times New Roman" w:hAnsi="Garamond" w:cs="Calibri"/>
                <w:sz w:val="20"/>
                <w:szCs w:val="20"/>
                <w:lang w:val="en-US" w:bidi="hi-IN"/>
              </w:rPr>
            </w:pPr>
            <w:r w:rsidRPr="00663D86">
              <w:rPr>
                <w:rFonts w:ascii="Garamond" w:eastAsia="Times New Roman" w:hAnsi="Garamond" w:cs="Calibri"/>
                <w:sz w:val="20"/>
                <w:szCs w:val="20"/>
                <w:lang w:val="en-US" w:bidi="hi-IN"/>
              </w:rPr>
              <w:t>20.9</w:t>
            </w:r>
          </w:p>
        </w:tc>
      </w:tr>
    </w:tbl>
    <w:p w:rsidR="00A12A17" w:rsidRPr="001972CA" w:rsidRDefault="00A12A17" w:rsidP="00A12A17">
      <w:pPr>
        <w:spacing w:line="23" w:lineRule="atLeast"/>
        <w:jc w:val="both"/>
        <w:rPr>
          <w:rFonts w:ascii="Garamond" w:hAnsi="Garamond"/>
          <w:bCs/>
          <w:sz w:val="18"/>
          <w:szCs w:val="18"/>
        </w:rPr>
      </w:pPr>
      <w:r w:rsidRPr="001972CA">
        <w:rPr>
          <w:rFonts w:ascii="Garamond" w:hAnsi="Garamond"/>
          <w:bCs/>
          <w:sz w:val="18"/>
          <w:szCs w:val="18"/>
        </w:rPr>
        <w:t xml:space="preserve"> Note: </w:t>
      </w:r>
      <w:r>
        <w:rPr>
          <w:rFonts w:ascii="Garamond" w:hAnsi="Garamond"/>
          <w:bCs/>
          <w:sz w:val="18"/>
          <w:szCs w:val="18"/>
        </w:rPr>
        <w:t xml:space="preserve">* </w:t>
      </w:r>
      <w:r w:rsidRPr="001972CA">
        <w:rPr>
          <w:rFonts w:ascii="Garamond" w:hAnsi="Garamond"/>
          <w:bCs/>
          <w:sz w:val="18"/>
          <w:szCs w:val="18"/>
        </w:rPr>
        <w:t xml:space="preserve">P/E Ratios as on the last trading day of month. Trailing PE ratio has been used from Refinitiv for all Indices apart from Sensex, Nifty 50, Kospi, Nikkei and Taiwan Taiex. Forward PE from Refinitiv was used for Kospi, Nikkei and Taiwan Taiex. Data for Sensex and Nifty was taken from respective exchange website. Data is as on </w:t>
      </w:r>
      <w:r>
        <w:rPr>
          <w:rFonts w:ascii="Garamond" w:hAnsi="Garamond"/>
          <w:bCs/>
          <w:sz w:val="18"/>
          <w:szCs w:val="18"/>
          <w:lang w:val="en-US"/>
        </w:rPr>
        <w:t xml:space="preserve">12 April </w:t>
      </w:r>
      <w:r w:rsidRPr="001972CA">
        <w:rPr>
          <w:rFonts w:ascii="Garamond" w:hAnsi="Garamond"/>
          <w:bCs/>
          <w:sz w:val="18"/>
          <w:szCs w:val="18"/>
          <w:lang w:val="en-US"/>
        </w:rPr>
        <w:t>2021</w:t>
      </w:r>
    </w:p>
    <w:p w:rsidR="00A12A17" w:rsidRDefault="00A12A17" w:rsidP="00A12A17">
      <w:pPr>
        <w:spacing w:line="23" w:lineRule="atLeast"/>
        <w:jc w:val="both"/>
        <w:rPr>
          <w:rFonts w:ascii="Garamond" w:hAnsi="Garamond"/>
          <w:bCs/>
          <w:sz w:val="18"/>
          <w:szCs w:val="18"/>
        </w:rPr>
      </w:pPr>
      <w:r w:rsidRPr="001972CA">
        <w:rPr>
          <w:rFonts w:ascii="Garamond" w:hAnsi="Garamond"/>
          <w:bCs/>
          <w:sz w:val="18"/>
          <w:szCs w:val="18"/>
        </w:rPr>
        <w:t xml:space="preserve">Source: Refinitiv, BSE and National Stock Exchange </w:t>
      </w:r>
    </w:p>
    <w:p w:rsidR="00A12A17" w:rsidRPr="00073FE2" w:rsidRDefault="00A12A17" w:rsidP="00A12A17">
      <w:pPr>
        <w:spacing w:line="23" w:lineRule="atLeast"/>
        <w:rPr>
          <w:rFonts w:ascii="Garamond" w:hAnsi="Garamond"/>
          <w:b/>
          <w:bCs/>
          <w:strike/>
          <w:szCs w:val="22"/>
        </w:rPr>
        <w:sectPr w:rsidR="00A12A17" w:rsidRPr="00073FE2" w:rsidSect="00C02A9E">
          <w:pgSz w:w="16838" w:h="11906" w:orient="landscape" w:code="9"/>
          <w:pgMar w:top="1009" w:right="578" w:bottom="1009" w:left="578" w:header="431" w:footer="431" w:gutter="0"/>
          <w:cols w:space="720"/>
          <w:docGrid w:linePitch="360"/>
        </w:sectPr>
      </w:pPr>
    </w:p>
    <w:p w:rsidR="00A12A17" w:rsidRPr="00E25198" w:rsidRDefault="00A12A17" w:rsidP="00A12A17">
      <w:pPr>
        <w:spacing w:line="23" w:lineRule="atLeast"/>
        <w:jc w:val="both"/>
        <w:rPr>
          <w:rFonts w:ascii="Garamond" w:hAnsi="Garamond"/>
          <w:b/>
          <w:bCs/>
          <w:szCs w:val="22"/>
        </w:rPr>
      </w:pPr>
    </w:p>
    <w:p w:rsidR="00A12A17" w:rsidRPr="00E25198" w:rsidRDefault="00A12A17" w:rsidP="00A12A17">
      <w:pPr>
        <w:spacing w:line="23" w:lineRule="atLeast"/>
        <w:jc w:val="both"/>
        <w:rPr>
          <w:rFonts w:ascii="Garamond" w:hAnsi="Garamond"/>
          <w:b/>
          <w:bCs/>
          <w:szCs w:val="22"/>
        </w:rPr>
      </w:pPr>
      <w:r w:rsidRPr="00E25198">
        <w:rPr>
          <w:rFonts w:ascii="Garamond" w:hAnsi="Garamond"/>
          <w:b/>
          <w:bCs/>
          <w:szCs w:val="22"/>
        </w:rPr>
        <w:t>Table A2: Fund Mobilisation by Issuance of Equity and Bond in Major Exchanges (USD million)</w:t>
      </w:r>
    </w:p>
    <w:tbl>
      <w:tblPr>
        <w:tblW w:w="9722" w:type="dxa"/>
        <w:tblCellMar>
          <w:left w:w="0" w:type="dxa"/>
          <w:right w:w="0" w:type="dxa"/>
        </w:tblCellMar>
        <w:tblLook w:val="04A0" w:firstRow="1" w:lastRow="0" w:firstColumn="1" w:lastColumn="0" w:noHBand="0" w:noVBand="1"/>
      </w:tblPr>
      <w:tblGrid>
        <w:gridCol w:w="3402"/>
        <w:gridCol w:w="1053"/>
        <w:gridCol w:w="1053"/>
        <w:gridCol w:w="1054"/>
        <w:gridCol w:w="1053"/>
        <w:gridCol w:w="1053"/>
        <w:gridCol w:w="1054"/>
      </w:tblGrid>
      <w:tr w:rsidR="00A12A17" w:rsidRPr="00797A8B" w:rsidTr="00A91C39">
        <w:trPr>
          <w:trHeight w:val="257"/>
        </w:trPr>
        <w:tc>
          <w:tcPr>
            <w:tcW w:w="3402" w:type="dxa"/>
            <w:tcBorders>
              <w:top w:val="single" w:sz="8" w:space="0" w:color="auto"/>
              <w:left w:val="single" w:sz="8" w:space="0" w:color="auto"/>
              <w:bottom w:val="nil"/>
              <w:right w:val="single" w:sz="8" w:space="0" w:color="auto"/>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lang w:val="en-US" w:bidi="hi-IN"/>
              </w:rPr>
            </w:pPr>
            <w:r w:rsidRPr="00797A8B">
              <w:rPr>
                <w:rFonts w:ascii="Garamond" w:hAnsi="Garamond" w:cs="Calibri"/>
                <w:b/>
                <w:bCs/>
                <w:color w:val="FFFFFF"/>
                <w:sz w:val="20"/>
                <w:szCs w:val="20"/>
              </w:rPr>
              <w:t>Month</w:t>
            </w:r>
          </w:p>
        </w:tc>
        <w:tc>
          <w:tcPr>
            <w:tcW w:w="3160" w:type="dxa"/>
            <w:gridSpan w:val="3"/>
            <w:tcBorders>
              <w:top w:val="single" w:sz="8" w:space="0" w:color="auto"/>
              <w:left w:val="nil"/>
              <w:bottom w:val="nil"/>
              <w:right w:val="single" w:sz="8" w:space="0" w:color="000000"/>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Jan-21</w:t>
            </w:r>
          </w:p>
        </w:tc>
        <w:tc>
          <w:tcPr>
            <w:tcW w:w="3160" w:type="dxa"/>
            <w:gridSpan w:val="3"/>
            <w:tcBorders>
              <w:top w:val="single" w:sz="8" w:space="0" w:color="auto"/>
              <w:left w:val="nil"/>
              <w:bottom w:val="nil"/>
              <w:right w:val="single" w:sz="8" w:space="0" w:color="000000"/>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Feb-21</w:t>
            </w:r>
          </w:p>
        </w:tc>
      </w:tr>
      <w:tr w:rsidR="00A12A17" w:rsidRPr="00797A8B" w:rsidTr="00A91C39">
        <w:trPr>
          <w:trHeight w:val="247"/>
        </w:trPr>
        <w:tc>
          <w:tcPr>
            <w:tcW w:w="3402" w:type="dxa"/>
            <w:tcBorders>
              <w:top w:val="single" w:sz="4" w:space="0" w:color="auto"/>
              <w:left w:val="single" w:sz="4" w:space="0" w:color="auto"/>
              <w:bottom w:val="single" w:sz="4" w:space="0" w:color="auto"/>
              <w:right w:val="single" w:sz="4" w:space="0" w:color="auto"/>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Exchange Name</w:t>
            </w:r>
          </w:p>
        </w:tc>
        <w:tc>
          <w:tcPr>
            <w:tcW w:w="1053" w:type="dxa"/>
            <w:tcBorders>
              <w:top w:val="single" w:sz="4" w:space="0" w:color="auto"/>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Bond</w:t>
            </w:r>
          </w:p>
        </w:tc>
        <w:tc>
          <w:tcPr>
            <w:tcW w:w="1053" w:type="dxa"/>
            <w:tcBorders>
              <w:top w:val="single" w:sz="4" w:space="0" w:color="auto"/>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Equity</w:t>
            </w:r>
          </w:p>
        </w:tc>
        <w:tc>
          <w:tcPr>
            <w:tcW w:w="1054" w:type="dxa"/>
            <w:tcBorders>
              <w:top w:val="single" w:sz="4" w:space="0" w:color="auto"/>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Total</w:t>
            </w:r>
          </w:p>
        </w:tc>
        <w:tc>
          <w:tcPr>
            <w:tcW w:w="1053" w:type="dxa"/>
            <w:tcBorders>
              <w:top w:val="single" w:sz="4" w:space="0" w:color="auto"/>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Bond</w:t>
            </w:r>
          </w:p>
        </w:tc>
        <w:tc>
          <w:tcPr>
            <w:tcW w:w="1053" w:type="dxa"/>
            <w:tcBorders>
              <w:top w:val="single" w:sz="4" w:space="0" w:color="auto"/>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Equity</w:t>
            </w:r>
          </w:p>
        </w:tc>
        <w:tc>
          <w:tcPr>
            <w:tcW w:w="1054" w:type="dxa"/>
            <w:tcBorders>
              <w:top w:val="single" w:sz="4" w:space="0" w:color="auto"/>
              <w:left w:val="nil"/>
              <w:bottom w:val="single" w:sz="4" w:space="0" w:color="auto"/>
              <w:right w:val="single" w:sz="4" w:space="0" w:color="auto"/>
            </w:tcBorders>
            <w:shd w:val="clear" w:color="000000" w:fill="2F5496"/>
            <w:tcMar>
              <w:top w:w="15" w:type="dxa"/>
              <w:left w:w="15" w:type="dxa"/>
              <w:bottom w:w="0" w:type="dxa"/>
              <w:right w:w="15" w:type="dxa"/>
            </w:tcMar>
            <w:vAlign w:val="center"/>
            <w:hideMark/>
          </w:tcPr>
          <w:p w:rsidR="00A12A17" w:rsidRPr="00797A8B" w:rsidRDefault="00A12A17" w:rsidP="00A91C39">
            <w:pPr>
              <w:jc w:val="center"/>
              <w:rPr>
                <w:rFonts w:ascii="Garamond" w:hAnsi="Garamond" w:cs="Calibri"/>
                <w:b/>
                <w:bCs/>
                <w:color w:val="FFFFFF"/>
                <w:sz w:val="20"/>
                <w:szCs w:val="20"/>
              </w:rPr>
            </w:pPr>
            <w:r w:rsidRPr="00797A8B">
              <w:rPr>
                <w:rFonts w:ascii="Garamond" w:hAnsi="Garamond" w:cs="Calibri"/>
                <w:b/>
                <w:bCs/>
                <w:color w:val="FFFFFF"/>
                <w:sz w:val="20"/>
                <w:szCs w:val="20"/>
              </w:rPr>
              <w:t>Total</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B3 - Brasil Bolsa Balcão</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Nasdaq – US</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NYSE</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ASX Australian Securities Exchange</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595</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595</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1,326</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1,326</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Hong Kong Exchanges and Clearing</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22,437</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8,837</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31,274</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14,610</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12,293</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26,904</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Japan Exchange Group</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5,397</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11,557</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16,954</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5,634</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660</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6,294</w:t>
            </w:r>
          </w:p>
        </w:tc>
      </w:tr>
      <w:tr w:rsidR="00A12A17" w:rsidRPr="00797A8B" w:rsidTr="00A91C39">
        <w:trPr>
          <w:trHeight w:val="247"/>
        </w:trPr>
        <w:tc>
          <w:tcPr>
            <w:tcW w:w="3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sz w:val="20"/>
                <w:szCs w:val="20"/>
              </w:rPr>
            </w:pPr>
            <w:r w:rsidRPr="00797A8B">
              <w:rPr>
                <w:rFonts w:ascii="Garamond" w:hAnsi="Garamond" w:cs="Calibri"/>
                <w:sz w:val="20"/>
                <w:szCs w:val="20"/>
              </w:rPr>
              <w:t>Korea Exchange</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44,334</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44,334</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58,228</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58,228</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National Stock Exchange of India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40,179</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40,179</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Shanghai Stock Exchange</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10,279</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10,279</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5,567</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5,567</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Shenzhen Stock Exchange</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12,240</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9,085</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21,324</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7,468</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5,548</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13,016</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Singapore Exchange</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28,966</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294</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29,261</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23,054</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130</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23,184</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BME Spanish Exchanges</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65,826</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1,275</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67,101</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31,970</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1,118</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33,088</w:t>
            </w:r>
          </w:p>
        </w:tc>
      </w:tr>
      <w:tr w:rsidR="00A12A17" w:rsidRPr="00797A8B" w:rsidTr="00A91C39">
        <w:trPr>
          <w:trHeight w:val="247"/>
        </w:trPr>
        <w:tc>
          <w:tcPr>
            <w:tcW w:w="3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sz w:val="20"/>
                <w:szCs w:val="20"/>
              </w:rPr>
            </w:pPr>
            <w:r w:rsidRPr="00797A8B">
              <w:rPr>
                <w:rFonts w:ascii="Garamond" w:hAnsi="Garamond" w:cs="Calibri"/>
                <w:sz w:val="20"/>
                <w:szCs w:val="20"/>
              </w:rPr>
              <w:t>Deutsche Boerse AG</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39,863</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0</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39,863</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33,936</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1,404</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35,340</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Euronext</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5,956</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5,956</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12,855</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12,855</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Johannesburg Stock Exchange</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2,408</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49</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2,457</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4,652</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48</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4,700</w:t>
            </w:r>
          </w:p>
        </w:tc>
      </w:tr>
      <w:tr w:rsidR="00A12A17" w:rsidRPr="00797A8B" w:rsidTr="00A91C39">
        <w:trPr>
          <w:trHeight w:val="247"/>
        </w:trPr>
        <w:tc>
          <w:tcPr>
            <w:tcW w:w="3402" w:type="dxa"/>
            <w:tcBorders>
              <w:top w:val="single" w:sz="4" w:space="0" w:color="auto"/>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sz w:val="20"/>
                <w:szCs w:val="20"/>
              </w:rPr>
            </w:pPr>
            <w:r w:rsidRPr="00797A8B">
              <w:rPr>
                <w:rFonts w:ascii="Garamond" w:hAnsi="Garamond" w:cs="Calibri"/>
                <w:sz w:val="20"/>
                <w:szCs w:val="20"/>
              </w:rPr>
              <w:t>LSE Group</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57,761</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1,034</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58,795</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51,926</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2,427</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54,353</w:t>
            </w:r>
          </w:p>
        </w:tc>
      </w:tr>
      <w:tr w:rsidR="00A12A17" w:rsidRPr="00797A8B" w:rsidTr="00A91C39">
        <w:trPr>
          <w:trHeight w:val="257"/>
        </w:trPr>
        <w:tc>
          <w:tcPr>
            <w:tcW w:w="3402" w:type="dxa"/>
            <w:tcBorders>
              <w:top w:val="nil"/>
              <w:left w:val="single" w:sz="4" w:space="0" w:color="auto"/>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Moscow Exchange</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10,551</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10,551</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15,997</w:t>
            </w:r>
          </w:p>
        </w:tc>
        <w:tc>
          <w:tcPr>
            <w:tcW w:w="1053"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NA</w:t>
            </w:r>
          </w:p>
        </w:tc>
        <w:tc>
          <w:tcPr>
            <w:tcW w:w="1054"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15,997</w:t>
            </w:r>
          </w:p>
        </w:tc>
      </w:tr>
      <w:tr w:rsidR="00A12A17" w:rsidRPr="00797A8B" w:rsidTr="00A91C39">
        <w:trPr>
          <w:trHeight w:val="247"/>
        </w:trPr>
        <w:tc>
          <w:tcPr>
            <w:tcW w:w="3402" w:type="dxa"/>
            <w:tcBorders>
              <w:top w:val="nil"/>
              <w:left w:val="single" w:sz="4" w:space="0" w:color="auto"/>
              <w:bottom w:val="single" w:sz="4" w:space="0" w:color="auto"/>
              <w:right w:val="single" w:sz="4" w:space="0" w:color="auto"/>
            </w:tcBorders>
            <w:shd w:val="clear" w:color="000000" w:fill="BDD6EE"/>
            <w:tcMar>
              <w:top w:w="15" w:type="dxa"/>
              <w:left w:w="15" w:type="dxa"/>
              <w:bottom w:w="0" w:type="dxa"/>
              <w:right w:w="15" w:type="dxa"/>
            </w:tcMar>
            <w:vAlign w:val="center"/>
            <w:hideMark/>
          </w:tcPr>
          <w:p w:rsidR="00A12A17" w:rsidRPr="00797A8B" w:rsidRDefault="00A12A17" w:rsidP="00A91C39">
            <w:pPr>
              <w:rPr>
                <w:rFonts w:ascii="Garamond" w:hAnsi="Garamond" w:cs="Calibri"/>
                <w:b/>
                <w:bCs/>
                <w:color w:val="000000"/>
                <w:sz w:val="20"/>
                <w:szCs w:val="20"/>
              </w:rPr>
            </w:pPr>
            <w:r w:rsidRPr="00797A8B">
              <w:rPr>
                <w:rFonts w:ascii="Garamond" w:hAnsi="Garamond" w:cs="Calibri"/>
                <w:b/>
                <w:bCs/>
                <w:color w:val="000000"/>
                <w:sz w:val="20"/>
                <w:szCs w:val="20"/>
              </w:rPr>
              <w:t>Grand Total</w:t>
            </w:r>
          </w:p>
        </w:tc>
        <w:tc>
          <w:tcPr>
            <w:tcW w:w="1053"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b/>
                <w:bCs/>
                <w:color w:val="000000"/>
                <w:sz w:val="20"/>
                <w:szCs w:val="20"/>
              </w:rPr>
            </w:pPr>
            <w:r w:rsidRPr="00797A8B">
              <w:rPr>
                <w:rFonts w:ascii="Garamond" w:hAnsi="Garamond" w:cs="Calibri"/>
                <w:b/>
                <w:bCs/>
                <w:color w:val="000000"/>
                <w:sz w:val="20"/>
                <w:szCs w:val="20"/>
              </w:rPr>
              <w:t xml:space="preserve"> 329,962</w:t>
            </w:r>
          </w:p>
        </w:tc>
        <w:tc>
          <w:tcPr>
            <w:tcW w:w="1053"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b/>
                <w:bCs/>
                <w:color w:val="000000"/>
                <w:sz w:val="20"/>
                <w:szCs w:val="20"/>
              </w:rPr>
            </w:pPr>
            <w:r w:rsidRPr="00797A8B">
              <w:rPr>
                <w:rFonts w:ascii="Garamond" w:hAnsi="Garamond" w:cs="Calibri"/>
                <w:b/>
                <w:bCs/>
                <w:color w:val="000000"/>
                <w:sz w:val="20"/>
                <w:szCs w:val="20"/>
              </w:rPr>
              <w:t xml:space="preserve"> 48,961</w:t>
            </w:r>
          </w:p>
        </w:tc>
        <w:tc>
          <w:tcPr>
            <w:tcW w:w="1054"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b/>
                <w:bCs/>
                <w:color w:val="000000"/>
                <w:sz w:val="20"/>
                <w:szCs w:val="20"/>
              </w:rPr>
            </w:pPr>
            <w:r w:rsidRPr="00797A8B">
              <w:rPr>
                <w:rFonts w:ascii="Garamond" w:hAnsi="Garamond" w:cs="Calibri"/>
                <w:b/>
                <w:bCs/>
                <w:color w:val="000000"/>
                <w:sz w:val="20"/>
                <w:szCs w:val="20"/>
              </w:rPr>
              <w:t xml:space="preserve"> 378,923</w:t>
            </w:r>
          </w:p>
        </w:tc>
        <w:tc>
          <w:tcPr>
            <w:tcW w:w="1053"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b/>
                <w:bCs/>
                <w:color w:val="000000"/>
                <w:sz w:val="20"/>
                <w:szCs w:val="20"/>
              </w:rPr>
            </w:pPr>
            <w:r w:rsidRPr="00797A8B">
              <w:rPr>
                <w:rFonts w:ascii="Garamond" w:hAnsi="Garamond" w:cs="Calibri"/>
                <w:b/>
                <w:bCs/>
                <w:color w:val="000000"/>
                <w:sz w:val="20"/>
                <w:szCs w:val="20"/>
              </w:rPr>
              <w:t xml:space="preserve"> 247,477</w:t>
            </w:r>
          </w:p>
        </w:tc>
        <w:tc>
          <w:tcPr>
            <w:tcW w:w="1053"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b/>
                <w:bCs/>
                <w:color w:val="000000"/>
                <w:sz w:val="20"/>
                <w:szCs w:val="20"/>
              </w:rPr>
            </w:pPr>
            <w:r w:rsidRPr="00797A8B">
              <w:rPr>
                <w:rFonts w:ascii="Garamond" w:hAnsi="Garamond" w:cs="Calibri"/>
                <w:b/>
                <w:bCs/>
                <w:color w:val="000000"/>
                <w:sz w:val="20"/>
                <w:szCs w:val="20"/>
              </w:rPr>
              <w:t xml:space="preserve"> 43,376</w:t>
            </w:r>
          </w:p>
        </w:tc>
        <w:tc>
          <w:tcPr>
            <w:tcW w:w="1054" w:type="dxa"/>
            <w:tcBorders>
              <w:top w:val="nil"/>
              <w:left w:val="nil"/>
              <w:bottom w:val="single" w:sz="4" w:space="0" w:color="auto"/>
              <w:right w:val="single" w:sz="4" w:space="0" w:color="auto"/>
            </w:tcBorders>
            <w:shd w:val="clear" w:color="000000" w:fill="BDD6EE"/>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b/>
                <w:bCs/>
                <w:color w:val="000000"/>
                <w:sz w:val="20"/>
                <w:szCs w:val="20"/>
              </w:rPr>
            </w:pPr>
            <w:r w:rsidRPr="00797A8B">
              <w:rPr>
                <w:rFonts w:ascii="Garamond" w:hAnsi="Garamond" w:cs="Calibri"/>
                <w:b/>
                <w:bCs/>
                <w:color w:val="000000"/>
                <w:sz w:val="20"/>
                <w:szCs w:val="20"/>
              </w:rPr>
              <w:t xml:space="preserve"> 290,853</w:t>
            </w:r>
          </w:p>
        </w:tc>
      </w:tr>
    </w:tbl>
    <w:p w:rsidR="00A12A17" w:rsidRPr="00E25198" w:rsidRDefault="00A12A17" w:rsidP="00A12A17">
      <w:pPr>
        <w:jc w:val="both"/>
        <w:rPr>
          <w:rFonts w:ascii="Garamond" w:hAnsi="Garamond"/>
          <w:bCs/>
          <w:sz w:val="18"/>
          <w:szCs w:val="18"/>
        </w:rPr>
      </w:pPr>
      <w:r w:rsidRPr="00E25198">
        <w:rPr>
          <w:rFonts w:ascii="Garamond" w:hAnsi="Garamond"/>
          <w:bCs/>
          <w:sz w:val="18"/>
          <w:szCs w:val="18"/>
        </w:rPr>
        <w:t xml:space="preserve"> Note: For Funds mobilised through issuance of bonds, data may differ due to different reporting rules &amp; calculation methods. Fund mobilisation data for equities are (i) excluding investment funds and (ii) including Alternative and SME Markets except the following exceptions:</w:t>
      </w:r>
    </w:p>
    <w:p w:rsidR="00A12A17" w:rsidRPr="00E25198" w:rsidRDefault="00A12A17" w:rsidP="00A12A17">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Australian Securities Exchange: including investment funds</w:t>
      </w:r>
    </w:p>
    <w:p w:rsidR="00A12A17" w:rsidRPr="00E25198" w:rsidRDefault="00A12A17" w:rsidP="00A12A17">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 xml:space="preserve">BME: Including investment companies listed (open-end investment companies). </w:t>
      </w:r>
    </w:p>
    <w:p w:rsidR="00A12A17" w:rsidRPr="00E25198" w:rsidRDefault="00A12A17" w:rsidP="00A12A17">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Euronext: includes Belgium, England, France, Netherlands and Portugal</w:t>
      </w:r>
    </w:p>
    <w:p w:rsidR="00A12A17" w:rsidRPr="00E25198" w:rsidRDefault="00A12A17" w:rsidP="00A12A17">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Korea Exchange: including Kosdaq market data</w:t>
      </w:r>
    </w:p>
    <w:p w:rsidR="00A12A17" w:rsidRPr="00E25198" w:rsidRDefault="00A12A17" w:rsidP="00A12A17">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LSE Group: includes London Stock Exchange and BorsaItaliana</w:t>
      </w:r>
    </w:p>
    <w:p w:rsidR="00A12A17" w:rsidRPr="00E25198" w:rsidRDefault="00A12A17" w:rsidP="00A12A17">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Nasdaq Nordic Exchanges include Copenhagen, Helsinki, Iceland, Stockholm, Tallinn, Riga and Vilnius Stock Exchanges</w:t>
      </w:r>
    </w:p>
    <w:p w:rsidR="00A12A17" w:rsidRPr="00E25198" w:rsidRDefault="00A12A17" w:rsidP="00A12A17">
      <w:pPr>
        <w:widowControl w:val="0"/>
        <w:numPr>
          <w:ilvl w:val="0"/>
          <w:numId w:val="5"/>
        </w:numPr>
        <w:autoSpaceDE w:val="0"/>
        <w:autoSpaceDN w:val="0"/>
        <w:adjustRightInd w:val="0"/>
        <w:rPr>
          <w:rFonts w:ascii="Garamond" w:eastAsia="Times New Roman" w:hAnsi="Garamond"/>
          <w:bCs/>
          <w:sz w:val="18"/>
          <w:szCs w:val="18"/>
        </w:rPr>
      </w:pPr>
      <w:r w:rsidRPr="00E25198">
        <w:rPr>
          <w:rFonts w:ascii="Garamond" w:eastAsia="Times New Roman" w:hAnsi="Garamond"/>
          <w:bCs/>
          <w:sz w:val="18"/>
          <w:szCs w:val="18"/>
        </w:rPr>
        <w:t>NSE India: including “Emerge” market data</w:t>
      </w:r>
    </w:p>
    <w:p w:rsidR="00A12A17" w:rsidRPr="00E25198" w:rsidRDefault="00A12A17" w:rsidP="00A12A17">
      <w:pPr>
        <w:outlineLvl w:val="0"/>
        <w:rPr>
          <w:rFonts w:ascii="Garamond" w:hAnsi="Garamond"/>
          <w:bCs/>
          <w:sz w:val="18"/>
          <w:szCs w:val="18"/>
        </w:rPr>
      </w:pPr>
      <w:r w:rsidRPr="00E25198">
        <w:rPr>
          <w:rFonts w:ascii="Garamond" w:hAnsi="Garamond"/>
          <w:bCs/>
          <w:sz w:val="18"/>
          <w:szCs w:val="18"/>
        </w:rPr>
        <w:t>NA = Not Available</w:t>
      </w:r>
    </w:p>
    <w:p w:rsidR="00A12A17" w:rsidRPr="00E25198" w:rsidRDefault="00A12A17" w:rsidP="00A12A17">
      <w:pPr>
        <w:spacing w:line="23" w:lineRule="atLeast"/>
        <w:rPr>
          <w:rFonts w:ascii="Garamond" w:hAnsi="Garamond"/>
          <w:bCs/>
          <w:sz w:val="18"/>
          <w:szCs w:val="18"/>
        </w:rPr>
      </w:pPr>
      <w:r w:rsidRPr="00E25198">
        <w:rPr>
          <w:rFonts w:ascii="Garamond" w:hAnsi="Garamond"/>
          <w:bCs/>
          <w:sz w:val="18"/>
          <w:szCs w:val="18"/>
        </w:rPr>
        <w:t>Source: World Federation of Exchanges</w:t>
      </w:r>
    </w:p>
    <w:p w:rsidR="00A12A17" w:rsidRPr="00E25198" w:rsidRDefault="00A12A17" w:rsidP="00A12A17">
      <w:pPr>
        <w:rPr>
          <w:rFonts w:ascii="Garamond" w:hAnsi="Garamond"/>
          <w:bCs/>
          <w:sz w:val="22"/>
          <w:szCs w:val="22"/>
        </w:rPr>
      </w:pPr>
    </w:p>
    <w:p w:rsidR="00A12A17" w:rsidRPr="00E25198" w:rsidRDefault="00A12A17" w:rsidP="00A12A17">
      <w:pPr>
        <w:spacing w:line="23" w:lineRule="atLeast"/>
        <w:jc w:val="both"/>
        <w:outlineLvl w:val="0"/>
        <w:rPr>
          <w:rFonts w:ascii="Garamond" w:hAnsi="Garamond"/>
          <w:b/>
          <w:bCs/>
          <w:szCs w:val="22"/>
        </w:rPr>
      </w:pPr>
      <w:r w:rsidRPr="00E25198">
        <w:rPr>
          <w:rFonts w:ascii="Garamond" w:hAnsi="Garamond"/>
          <w:b/>
          <w:bCs/>
          <w:szCs w:val="22"/>
        </w:rPr>
        <w:t>Table A3: Domestic Market Capitalisation of Major Exchanges (USD billion)</w:t>
      </w:r>
    </w:p>
    <w:tbl>
      <w:tblPr>
        <w:tblW w:w="8794" w:type="dxa"/>
        <w:jc w:val="center"/>
        <w:tblCellMar>
          <w:left w:w="0" w:type="dxa"/>
          <w:right w:w="0" w:type="dxa"/>
        </w:tblCellMar>
        <w:tblLook w:val="04A0" w:firstRow="1" w:lastRow="0" w:firstColumn="1" w:lastColumn="0" w:noHBand="0" w:noVBand="1"/>
      </w:tblPr>
      <w:tblGrid>
        <w:gridCol w:w="4561"/>
        <w:gridCol w:w="1411"/>
        <w:gridCol w:w="1411"/>
        <w:gridCol w:w="1411"/>
      </w:tblGrid>
      <w:tr w:rsidR="00A12A17" w:rsidRPr="00797A8B" w:rsidTr="00A91C39">
        <w:trPr>
          <w:trHeight w:val="248"/>
          <w:jc w:val="center"/>
        </w:trPr>
        <w:tc>
          <w:tcPr>
            <w:tcW w:w="4561" w:type="dxa"/>
            <w:tcBorders>
              <w:top w:val="single" w:sz="4" w:space="0" w:color="auto"/>
              <w:left w:val="single" w:sz="4" w:space="0" w:color="auto"/>
              <w:bottom w:val="single" w:sz="4" w:space="0" w:color="auto"/>
              <w:right w:val="single" w:sz="4" w:space="0" w:color="auto"/>
            </w:tcBorders>
            <w:shd w:val="clear" w:color="000000" w:fill="B4C6E7"/>
            <w:noWrap/>
            <w:tcMar>
              <w:top w:w="15" w:type="dxa"/>
              <w:left w:w="15" w:type="dxa"/>
              <w:bottom w:w="0" w:type="dxa"/>
              <w:right w:w="15" w:type="dxa"/>
            </w:tcMar>
            <w:vAlign w:val="center"/>
            <w:hideMark/>
          </w:tcPr>
          <w:p w:rsidR="00A12A17" w:rsidRPr="00797A8B" w:rsidRDefault="00A12A17" w:rsidP="00A91C39">
            <w:pPr>
              <w:rPr>
                <w:rFonts w:ascii="Garamond" w:hAnsi="Garamond" w:cs="Calibri"/>
                <w:b/>
                <w:bCs/>
                <w:color w:val="000000"/>
                <w:sz w:val="20"/>
                <w:szCs w:val="20"/>
                <w:lang w:val="en-US" w:bidi="hi-IN"/>
              </w:rPr>
            </w:pPr>
            <w:r w:rsidRPr="00797A8B">
              <w:rPr>
                <w:rFonts w:ascii="Garamond" w:hAnsi="Garamond" w:cs="Calibri"/>
                <w:b/>
                <w:bCs/>
                <w:color w:val="000000"/>
                <w:sz w:val="20"/>
                <w:szCs w:val="20"/>
              </w:rPr>
              <w:t>Exchnage</w:t>
            </w:r>
          </w:p>
        </w:tc>
        <w:tc>
          <w:tcPr>
            <w:tcW w:w="1411" w:type="dxa"/>
            <w:tcBorders>
              <w:top w:val="single" w:sz="4" w:space="0" w:color="auto"/>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rsidR="00A12A17" w:rsidRPr="00797A8B" w:rsidRDefault="00A12A17" w:rsidP="00A91C39">
            <w:pPr>
              <w:jc w:val="center"/>
              <w:rPr>
                <w:rFonts w:ascii="Calibri" w:hAnsi="Calibri" w:cs="Calibri"/>
                <w:b/>
                <w:bCs/>
                <w:color w:val="000000"/>
                <w:sz w:val="18"/>
                <w:szCs w:val="18"/>
              </w:rPr>
            </w:pPr>
            <w:r w:rsidRPr="00797A8B">
              <w:rPr>
                <w:rFonts w:ascii="Calibri" w:hAnsi="Calibri" w:cs="Calibri"/>
                <w:b/>
                <w:bCs/>
                <w:color w:val="000000"/>
                <w:sz w:val="18"/>
                <w:szCs w:val="18"/>
              </w:rPr>
              <w:t>Jan-21</w:t>
            </w:r>
          </w:p>
        </w:tc>
        <w:tc>
          <w:tcPr>
            <w:tcW w:w="1411" w:type="dxa"/>
            <w:tcBorders>
              <w:top w:val="single" w:sz="4" w:space="0" w:color="auto"/>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rsidR="00A12A17" w:rsidRPr="00797A8B" w:rsidRDefault="00A12A17" w:rsidP="00A91C39">
            <w:pPr>
              <w:jc w:val="center"/>
              <w:rPr>
                <w:rFonts w:ascii="Calibri" w:hAnsi="Calibri" w:cs="Calibri"/>
                <w:b/>
                <w:bCs/>
                <w:color w:val="000000"/>
                <w:sz w:val="18"/>
                <w:szCs w:val="18"/>
              </w:rPr>
            </w:pPr>
            <w:r w:rsidRPr="00797A8B">
              <w:rPr>
                <w:rFonts w:ascii="Calibri" w:hAnsi="Calibri" w:cs="Calibri"/>
                <w:b/>
                <w:bCs/>
                <w:color w:val="000000"/>
                <w:sz w:val="18"/>
                <w:szCs w:val="18"/>
              </w:rPr>
              <w:t>Feb-21</w:t>
            </w:r>
          </w:p>
        </w:tc>
        <w:tc>
          <w:tcPr>
            <w:tcW w:w="1411" w:type="dxa"/>
            <w:tcBorders>
              <w:top w:val="single" w:sz="4" w:space="0" w:color="auto"/>
              <w:left w:val="nil"/>
              <w:bottom w:val="single" w:sz="4" w:space="0" w:color="auto"/>
              <w:right w:val="single" w:sz="4" w:space="0" w:color="auto"/>
            </w:tcBorders>
            <w:shd w:val="clear" w:color="000000" w:fill="B4C6E7"/>
            <w:noWrap/>
            <w:tcMar>
              <w:top w:w="15" w:type="dxa"/>
              <w:left w:w="15" w:type="dxa"/>
              <w:bottom w:w="0" w:type="dxa"/>
              <w:right w:w="15" w:type="dxa"/>
            </w:tcMar>
            <w:vAlign w:val="center"/>
            <w:hideMark/>
          </w:tcPr>
          <w:p w:rsidR="00A12A17" w:rsidRPr="00797A8B" w:rsidRDefault="00A12A17" w:rsidP="00A91C39">
            <w:pPr>
              <w:rPr>
                <w:rFonts w:ascii="Calibri" w:hAnsi="Calibri" w:cs="Calibri"/>
                <w:b/>
                <w:bCs/>
                <w:color w:val="000000"/>
                <w:sz w:val="18"/>
                <w:szCs w:val="18"/>
              </w:rPr>
            </w:pPr>
            <w:r w:rsidRPr="00797A8B">
              <w:rPr>
                <w:rFonts w:ascii="Calibri" w:hAnsi="Calibri" w:cs="Calibri"/>
                <w:b/>
                <w:bCs/>
                <w:color w:val="000000"/>
                <w:sz w:val="18"/>
                <w:szCs w:val="18"/>
              </w:rPr>
              <w:t>% Change MoM</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Nasdaq - US</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19,335</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19,513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0.9%</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NYSE</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LSE Group</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3,670</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3,833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4.5%</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Deutsche Boerse AG</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2,059</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2,113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2.6%</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BME Spanish Exchanges</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664</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699</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5.3%</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Japan Exchange Group</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6,347</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6,540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3.0%</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Singapore Exchange</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647</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650</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0.4%</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Hong Kong Exchanges and Clearing</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6,475</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6,763</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4.4%</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Korea Exchange</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2,049</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2,071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1.1%</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ASX Australian Securities Exchange</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1,526</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1,544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1.2%</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B3 - Brasil Bolsa Balcão</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1,198</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1,174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-2.0%</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Moscow Exchange</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805</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824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2.3%</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National Stock Exchange of India</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2,575</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NA</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Shanghai Stock Exchange</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6,499</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6,557</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0.9%</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Shenzhen Stock Exchange</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4,901</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4,831</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-1.4%</w:t>
            </w:r>
          </w:p>
        </w:tc>
      </w:tr>
      <w:tr w:rsidR="00A12A17" w:rsidRPr="00797A8B" w:rsidTr="00A91C39">
        <w:trPr>
          <w:trHeight w:val="248"/>
          <w:jc w:val="center"/>
        </w:trPr>
        <w:tc>
          <w:tcPr>
            <w:tcW w:w="0" w:type="auto"/>
            <w:tcBorders>
              <w:top w:val="nil"/>
              <w:left w:val="single" w:sz="4" w:space="0" w:color="auto"/>
              <w:bottom w:val="single" w:sz="4" w:space="0" w:color="auto"/>
              <w:right w:val="single" w:sz="4" w:space="0" w:color="auto"/>
            </w:tcBorders>
            <w:shd w:val="clear" w:color="000000" w:fill="D9E1F2"/>
            <w:noWrap/>
            <w:tcMar>
              <w:top w:w="15" w:type="dxa"/>
              <w:left w:w="15" w:type="dxa"/>
              <w:bottom w:w="0" w:type="dxa"/>
              <w:right w:w="15" w:type="dxa"/>
            </w:tcMar>
            <w:vAlign w:val="center"/>
            <w:hideMark/>
          </w:tcPr>
          <w:p w:rsidR="00A12A17" w:rsidRPr="00797A8B" w:rsidRDefault="00A12A17" w:rsidP="00A91C39">
            <w:pPr>
              <w:rPr>
                <w:rFonts w:ascii="Garamond" w:hAnsi="Garamond" w:cs="Calibri"/>
                <w:color w:val="000000"/>
                <w:sz w:val="20"/>
                <w:szCs w:val="20"/>
              </w:rPr>
            </w:pPr>
            <w:r w:rsidRPr="00797A8B">
              <w:rPr>
                <w:rFonts w:ascii="Garamond" w:hAnsi="Garamond" w:cs="Calibri"/>
                <w:color w:val="000000"/>
                <w:sz w:val="20"/>
                <w:szCs w:val="20"/>
              </w:rPr>
              <w:t>Johannesburg Stock Exchange</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1,095</w:t>
            </w:r>
          </w:p>
        </w:tc>
        <w:tc>
          <w:tcPr>
            <w:tcW w:w="1411" w:type="dxa"/>
            <w:tcBorders>
              <w:top w:val="nil"/>
              <w:left w:val="nil"/>
              <w:bottom w:val="single" w:sz="4" w:space="0" w:color="auto"/>
              <w:right w:val="single" w:sz="4" w:space="0" w:color="auto"/>
            </w:tcBorders>
            <w:shd w:val="clear" w:color="auto" w:fill="auto"/>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 xml:space="preserve"> 1,134</w:t>
            </w:r>
          </w:p>
        </w:tc>
        <w:tc>
          <w:tcPr>
            <w:tcW w:w="0" w:type="auto"/>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A12A17" w:rsidRPr="00797A8B" w:rsidRDefault="00A12A17" w:rsidP="00A91C39">
            <w:pPr>
              <w:ind w:right="113"/>
              <w:jc w:val="right"/>
              <w:rPr>
                <w:rFonts w:ascii="Garamond" w:hAnsi="Garamond" w:cs="Calibri"/>
                <w:color w:val="000000"/>
                <w:sz w:val="20"/>
                <w:szCs w:val="20"/>
              </w:rPr>
            </w:pPr>
            <w:r w:rsidRPr="00797A8B">
              <w:rPr>
                <w:rFonts w:ascii="Garamond" w:hAnsi="Garamond" w:cs="Calibri"/>
                <w:color w:val="000000"/>
                <w:sz w:val="20"/>
                <w:szCs w:val="20"/>
              </w:rPr>
              <w:t>3.5%</w:t>
            </w:r>
          </w:p>
        </w:tc>
      </w:tr>
    </w:tbl>
    <w:p w:rsidR="00A12A17" w:rsidRPr="00E25198" w:rsidRDefault="00A12A17" w:rsidP="00A12A17">
      <w:pPr>
        <w:spacing w:line="23" w:lineRule="atLeast"/>
        <w:ind w:left="851"/>
        <w:jc w:val="both"/>
        <w:outlineLvl w:val="0"/>
        <w:rPr>
          <w:rFonts w:ascii="Garamond" w:hAnsi="Garamond"/>
          <w:bCs/>
          <w:sz w:val="18"/>
          <w:szCs w:val="18"/>
        </w:rPr>
      </w:pPr>
      <w:r w:rsidRPr="00E25198">
        <w:rPr>
          <w:rFonts w:ascii="Garamond" w:hAnsi="Garamond"/>
          <w:bCs/>
          <w:sz w:val="18"/>
          <w:szCs w:val="18"/>
        </w:rPr>
        <w:t xml:space="preserve"> NA: Not Available</w:t>
      </w:r>
    </w:p>
    <w:p w:rsidR="00A12A17" w:rsidRPr="00E25198" w:rsidRDefault="00A12A17" w:rsidP="00A12A17">
      <w:pPr>
        <w:spacing w:line="23" w:lineRule="atLeast"/>
        <w:ind w:left="851"/>
        <w:jc w:val="both"/>
        <w:outlineLvl w:val="0"/>
        <w:rPr>
          <w:rFonts w:ascii="Garamond" w:hAnsi="Garamond"/>
          <w:bCs/>
          <w:sz w:val="18"/>
          <w:szCs w:val="18"/>
        </w:rPr>
      </w:pPr>
      <w:r w:rsidRPr="00E25198">
        <w:rPr>
          <w:rFonts w:ascii="Garamond" w:hAnsi="Garamond"/>
          <w:bCs/>
          <w:sz w:val="18"/>
          <w:szCs w:val="18"/>
        </w:rPr>
        <w:t>Source: World Federation of Exchanges</w:t>
      </w:r>
    </w:p>
    <w:p w:rsidR="00A12A17" w:rsidRPr="00E25198" w:rsidRDefault="00A12A17" w:rsidP="00A12A17">
      <w:pPr>
        <w:spacing w:line="23" w:lineRule="atLeast"/>
        <w:ind w:left="851"/>
        <w:jc w:val="both"/>
        <w:outlineLvl w:val="0"/>
        <w:rPr>
          <w:rFonts w:ascii="Garamond" w:hAnsi="Garamond"/>
          <w:bCs/>
          <w:sz w:val="18"/>
          <w:szCs w:val="18"/>
        </w:rPr>
      </w:pPr>
      <w:r w:rsidRPr="00E25198">
        <w:rPr>
          <w:rFonts w:ascii="Garamond" w:hAnsi="Garamond"/>
          <w:bCs/>
          <w:sz w:val="18"/>
          <w:szCs w:val="18"/>
        </w:rPr>
        <w:t xml:space="preserve">Note: </w:t>
      </w:r>
    </w:p>
    <w:p w:rsidR="00A12A17" w:rsidRPr="00E25198" w:rsidRDefault="00A12A17" w:rsidP="00A12A17">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The figures provided in some versions of SEBI Bulletin are sourced from Refinitiv which provides country wise market capitalization data (estimated internally by Refinitiv).</w:t>
      </w:r>
    </w:p>
    <w:p w:rsidR="00A12A17" w:rsidRPr="00E25198" w:rsidRDefault="00A12A17" w:rsidP="00A12A17">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The figures provided World Federation of Exchanges are more detailed and are provided by respective member exchanges.</w:t>
      </w:r>
    </w:p>
    <w:p w:rsidR="00A12A17" w:rsidRDefault="00A12A17" w:rsidP="00A12A17">
      <w:pPr>
        <w:numPr>
          <w:ilvl w:val="0"/>
          <w:numId w:val="10"/>
        </w:numPr>
        <w:spacing w:after="200" w:line="23" w:lineRule="atLeast"/>
        <w:ind w:left="851" w:hanging="283"/>
        <w:contextualSpacing/>
        <w:jc w:val="both"/>
        <w:outlineLvl w:val="0"/>
        <w:rPr>
          <w:rFonts w:ascii="Garamond" w:hAnsi="Garamond"/>
          <w:bCs/>
          <w:sz w:val="18"/>
          <w:szCs w:val="18"/>
          <w:lang w:val="en-US"/>
        </w:rPr>
      </w:pPr>
      <w:r w:rsidRPr="00E25198">
        <w:rPr>
          <w:rFonts w:ascii="Garamond" w:hAnsi="Garamond"/>
          <w:bCs/>
          <w:sz w:val="18"/>
          <w:szCs w:val="18"/>
          <w:lang w:val="en-US"/>
        </w:rPr>
        <w:t xml:space="preserve">As per the data available as on </w:t>
      </w:r>
      <w:r>
        <w:rPr>
          <w:rFonts w:ascii="Garamond" w:hAnsi="Garamond"/>
          <w:bCs/>
          <w:sz w:val="18"/>
          <w:szCs w:val="18"/>
          <w:lang w:val="en-US"/>
        </w:rPr>
        <w:t xml:space="preserve">12 April </w:t>
      </w:r>
      <w:r w:rsidRPr="00E25198">
        <w:rPr>
          <w:rFonts w:ascii="Garamond" w:hAnsi="Garamond"/>
          <w:bCs/>
          <w:sz w:val="18"/>
          <w:szCs w:val="18"/>
          <w:lang w:val="en-US"/>
        </w:rPr>
        <w:t>2021.</w:t>
      </w:r>
    </w:p>
    <w:p w:rsidR="00A12A17" w:rsidRPr="00E25198" w:rsidRDefault="00A12A17" w:rsidP="00A12A17">
      <w:pPr>
        <w:spacing w:line="23" w:lineRule="atLeast"/>
        <w:jc w:val="both"/>
        <w:outlineLvl w:val="0"/>
        <w:rPr>
          <w:rFonts w:ascii="Garamond" w:hAnsi="Garamond"/>
          <w:b/>
          <w:bCs/>
          <w:szCs w:val="22"/>
        </w:rPr>
      </w:pPr>
      <w:r w:rsidRPr="00E25198">
        <w:rPr>
          <w:rFonts w:ascii="Garamond" w:hAnsi="Garamond"/>
          <w:b/>
          <w:bCs/>
          <w:szCs w:val="22"/>
        </w:rPr>
        <w:t>Table A4: Stock Futures and Stock Options Traded in Major Exchanges</w:t>
      </w:r>
    </w:p>
    <w:p w:rsidR="00A12A17" w:rsidRPr="00E25198" w:rsidRDefault="00A12A17" w:rsidP="00A12A17">
      <w:pPr>
        <w:spacing w:line="23" w:lineRule="atLeast"/>
        <w:ind w:right="-744"/>
        <w:jc w:val="right"/>
        <w:outlineLvl w:val="0"/>
        <w:rPr>
          <w:rFonts w:ascii="Garamond" w:hAnsi="Garamond"/>
          <w:bCs/>
          <w:sz w:val="22"/>
          <w:szCs w:val="22"/>
        </w:rPr>
      </w:pPr>
      <w:r w:rsidRPr="00E25198">
        <w:rPr>
          <w:rFonts w:ascii="Garamond" w:hAnsi="Garamond"/>
          <w:bCs/>
          <w:sz w:val="22"/>
          <w:szCs w:val="22"/>
        </w:rPr>
        <w:t>Notional Turnover in (USD million)</w:t>
      </w:r>
    </w:p>
    <w:tbl>
      <w:tblPr>
        <w:tblW w:w="10658" w:type="dxa"/>
        <w:tblLook w:val="04A0" w:firstRow="1" w:lastRow="0" w:firstColumn="1" w:lastColumn="0" w:noHBand="0" w:noVBand="1"/>
      </w:tblPr>
      <w:tblGrid>
        <w:gridCol w:w="3651"/>
        <w:gridCol w:w="1189"/>
        <w:gridCol w:w="1150"/>
        <w:gridCol w:w="1153"/>
        <w:gridCol w:w="1189"/>
        <w:gridCol w:w="1150"/>
        <w:gridCol w:w="1176"/>
      </w:tblGrid>
      <w:tr w:rsidR="00A12A17" w:rsidRPr="00797A8B" w:rsidTr="00A91C39">
        <w:trPr>
          <w:trHeight w:val="256"/>
        </w:trPr>
        <w:tc>
          <w:tcPr>
            <w:tcW w:w="3651" w:type="dxa"/>
            <w:vMerge w:val="restart"/>
            <w:tcBorders>
              <w:top w:val="single" w:sz="8" w:space="0" w:color="auto"/>
              <w:left w:val="single" w:sz="8" w:space="0" w:color="auto"/>
              <w:bottom w:val="single" w:sz="8" w:space="0" w:color="000000"/>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Exchange</w:t>
            </w:r>
          </w:p>
        </w:tc>
        <w:tc>
          <w:tcPr>
            <w:tcW w:w="7007" w:type="dxa"/>
            <w:gridSpan w:val="6"/>
            <w:tcBorders>
              <w:top w:val="single" w:sz="8" w:space="0" w:color="auto"/>
              <w:left w:val="nil"/>
              <w:bottom w:val="single" w:sz="8" w:space="0" w:color="auto"/>
              <w:right w:val="single" w:sz="8" w:space="0" w:color="000000"/>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Feb-21</w:t>
            </w:r>
          </w:p>
        </w:tc>
      </w:tr>
      <w:tr w:rsidR="00A12A17" w:rsidRPr="00797A8B" w:rsidTr="00A91C39">
        <w:trPr>
          <w:trHeight w:val="270"/>
        </w:trPr>
        <w:tc>
          <w:tcPr>
            <w:tcW w:w="3651" w:type="dxa"/>
            <w:vMerge/>
            <w:tcBorders>
              <w:top w:val="single" w:sz="8" w:space="0" w:color="auto"/>
              <w:left w:val="single" w:sz="8" w:space="0" w:color="auto"/>
              <w:bottom w:val="single" w:sz="8" w:space="0" w:color="000000"/>
              <w:right w:val="single" w:sz="8" w:space="0" w:color="auto"/>
            </w:tcBorders>
            <w:vAlign w:val="center"/>
            <w:hideMark/>
          </w:tcPr>
          <w:p w:rsidR="00A12A17" w:rsidRPr="00930E82" w:rsidRDefault="00A12A17" w:rsidP="00A91C39">
            <w:pPr>
              <w:rPr>
                <w:rFonts w:ascii="Garamond" w:eastAsia="Times New Roman" w:hAnsi="Garamond" w:cs="Calibri"/>
                <w:b/>
                <w:bCs/>
                <w:color w:val="000000"/>
                <w:sz w:val="20"/>
                <w:szCs w:val="20"/>
                <w:lang w:val="en-US" w:bidi="hi-IN"/>
              </w:rPr>
            </w:pPr>
          </w:p>
        </w:tc>
        <w:tc>
          <w:tcPr>
            <w:tcW w:w="3492" w:type="dxa"/>
            <w:gridSpan w:val="3"/>
            <w:tcBorders>
              <w:top w:val="single" w:sz="8" w:space="0" w:color="auto"/>
              <w:left w:val="nil"/>
              <w:bottom w:val="single" w:sz="8" w:space="0" w:color="auto"/>
              <w:right w:val="single" w:sz="8" w:space="0" w:color="000000"/>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Single Stock Futures</w:t>
            </w:r>
          </w:p>
        </w:tc>
        <w:tc>
          <w:tcPr>
            <w:tcW w:w="3515" w:type="dxa"/>
            <w:gridSpan w:val="3"/>
            <w:tcBorders>
              <w:top w:val="single" w:sz="8" w:space="0" w:color="auto"/>
              <w:left w:val="nil"/>
              <w:bottom w:val="single" w:sz="8" w:space="0" w:color="auto"/>
              <w:right w:val="single" w:sz="8" w:space="0" w:color="000000"/>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Single Stock Options</w:t>
            </w:r>
          </w:p>
        </w:tc>
      </w:tr>
      <w:tr w:rsidR="00A12A17" w:rsidRPr="00797A8B" w:rsidTr="00A91C39">
        <w:trPr>
          <w:trHeight w:val="246"/>
        </w:trPr>
        <w:tc>
          <w:tcPr>
            <w:tcW w:w="3651" w:type="dxa"/>
            <w:vMerge/>
            <w:tcBorders>
              <w:top w:val="single" w:sz="8" w:space="0" w:color="auto"/>
              <w:left w:val="single" w:sz="8" w:space="0" w:color="auto"/>
              <w:bottom w:val="single" w:sz="8" w:space="0" w:color="000000"/>
              <w:right w:val="single" w:sz="8" w:space="0" w:color="auto"/>
            </w:tcBorders>
            <w:vAlign w:val="center"/>
            <w:hideMark/>
          </w:tcPr>
          <w:p w:rsidR="00A12A17" w:rsidRPr="00930E82" w:rsidRDefault="00A12A17" w:rsidP="00A91C39">
            <w:pPr>
              <w:rPr>
                <w:rFonts w:ascii="Garamond" w:eastAsia="Times New Roman" w:hAnsi="Garamond" w:cs="Calibri"/>
                <w:b/>
                <w:bCs/>
                <w:color w:val="000000"/>
                <w:sz w:val="20"/>
                <w:szCs w:val="20"/>
                <w:lang w:val="en-US" w:bidi="hi-IN"/>
              </w:rPr>
            </w:pPr>
          </w:p>
        </w:tc>
        <w:tc>
          <w:tcPr>
            <w:tcW w:w="1189" w:type="dxa"/>
            <w:tcBorders>
              <w:top w:val="nil"/>
              <w:left w:val="nil"/>
              <w:bottom w:val="nil"/>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Number of</w:t>
            </w:r>
          </w:p>
        </w:tc>
        <w:tc>
          <w:tcPr>
            <w:tcW w:w="1150" w:type="dxa"/>
            <w:tcBorders>
              <w:top w:val="nil"/>
              <w:left w:val="nil"/>
              <w:bottom w:val="nil"/>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Notional</w:t>
            </w:r>
          </w:p>
        </w:tc>
        <w:tc>
          <w:tcPr>
            <w:tcW w:w="1152" w:type="dxa"/>
            <w:tcBorders>
              <w:top w:val="nil"/>
              <w:left w:val="nil"/>
              <w:bottom w:val="nil"/>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Open</w:t>
            </w:r>
          </w:p>
        </w:tc>
        <w:tc>
          <w:tcPr>
            <w:tcW w:w="1189" w:type="dxa"/>
            <w:tcBorders>
              <w:top w:val="nil"/>
              <w:left w:val="nil"/>
              <w:bottom w:val="nil"/>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Number of</w:t>
            </w:r>
          </w:p>
        </w:tc>
        <w:tc>
          <w:tcPr>
            <w:tcW w:w="1150" w:type="dxa"/>
            <w:tcBorders>
              <w:top w:val="nil"/>
              <w:left w:val="nil"/>
              <w:bottom w:val="nil"/>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Notional</w:t>
            </w:r>
          </w:p>
        </w:tc>
        <w:tc>
          <w:tcPr>
            <w:tcW w:w="1175" w:type="dxa"/>
            <w:tcBorders>
              <w:top w:val="nil"/>
              <w:left w:val="nil"/>
              <w:bottom w:val="nil"/>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Open</w:t>
            </w:r>
          </w:p>
        </w:tc>
      </w:tr>
      <w:tr w:rsidR="00A12A17" w:rsidRPr="00797A8B" w:rsidTr="00A91C39">
        <w:trPr>
          <w:trHeight w:val="463"/>
        </w:trPr>
        <w:tc>
          <w:tcPr>
            <w:tcW w:w="3651" w:type="dxa"/>
            <w:vMerge/>
            <w:tcBorders>
              <w:top w:val="single" w:sz="8" w:space="0" w:color="auto"/>
              <w:left w:val="single" w:sz="8" w:space="0" w:color="auto"/>
              <w:bottom w:val="single" w:sz="8" w:space="0" w:color="000000"/>
              <w:right w:val="single" w:sz="8" w:space="0" w:color="auto"/>
            </w:tcBorders>
            <w:vAlign w:val="center"/>
            <w:hideMark/>
          </w:tcPr>
          <w:p w:rsidR="00A12A17" w:rsidRPr="00930E82" w:rsidRDefault="00A12A17" w:rsidP="00A91C39">
            <w:pPr>
              <w:rPr>
                <w:rFonts w:ascii="Garamond" w:eastAsia="Times New Roman" w:hAnsi="Garamond" w:cs="Calibri"/>
                <w:b/>
                <w:bCs/>
                <w:color w:val="000000"/>
                <w:sz w:val="20"/>
                <w:szCs w:val="20"/>
                <w:lang w:val="en-US" w:bidi="hi-IN"/>
              </w:rPr>
            </w:pPr>
          </w:p>
        </w:tc>
        <w:tc>
          <w:tcPr>
            <w:tcW w:w="1189" w:type="dxa"/>
            <w:tcBorders>
              <w:top w:val="nil"/>
              <w:left w:val="nil"/>
              <w:bottom w:val="single" w:sz="8" w:space="0" w:color="auto"/>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Contracts Traded</w:t>
            </w:r>
          </w:p>
        </w:tc>
        <w:tc>
          <w:tcPr>
            <w:tcW w:w="1150" w:type="dxa"/>
            <w:tcBorders>
              <w:top w:val="nil"/>
              <w:left w:val="nil"/>
              <w:bottom w:val="single" w:sz="8" w:space="0" w:color="auto"/>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Turnover</w:t>
            </w:r>
          </w:p>
        </w:tc>
        <w:tc>
          <w:tcPr>
            <w:tcW w:w="1152" w:type="dxa"/>
            <w:tcBorders>
              <w:top w:val="nil"/>
              <w:left w:val="nil"/>
              <w:bottom w:val="single" w:sz="8" w:space="0" w:color="auto"/>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Interest</w:t>
            </w:r>
          </w:p>
        </w:tc>
        <w:tc>
          <w:tcPr>
            <w:tcW w:w="1189" w:type="dxa"/>
            <w:tcBorders>
              <w:top w:val="nil"/>
              <w:left w:val="nil"/>
              <w:bottom w:val="single" w:sz="8" w:space="0" w:color="auto"/>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Contracts Traded</w:t>
            </w:r>
          </w:p>
        </w:tc>
        <w:tc>
          <w:tcPr>
            <w:tcW w:w="1150" w:type="dxa"/>
            <w:tcBorders>
              <w:top w:val="nil"/>
              <w:left w:val="nil"/>
              <w:bottom w:val="single" w:sz="8" w:space="0" w:color="auto"/>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Turnover</w:t>
            </w:r>
          </w:p>
        </w:tc>
        <w:tc>
          <w:tcPr>
            <w:tcW w:w="1175" w:type="dxa"/>
            <w:tcBorders>
              <w:top w:val="nil"/>
              <w:left w:val="nil"/>
              <w:bottom w:val="single" w:sz="8" w:space="0" w:color="auto"/>
              <w:right w:val="single" w:sz="8" w:space="0" w:color="auto"/>
            </w:tcBorders>
            <w:shd w:val="clear" w:color="000000" w:fill="B4C6E7"/>
            <w:vAlign w:val="center"/>
            <w:hideMark/>
          </w:tcPr>
          <w:p w:rsidR="00A12A17" w:rsidRPr="00930E82" w:rsidRDefault="00A12A17" w:rsidP="00A91C39">
            <w:pPr>
              <w:jc w:val="cente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Interest</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B3 - Brasil Bolsa Balcão</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58,974,100</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505</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22,945,400</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139,867,842</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100,499</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49,232,182</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Bolsa de Valores de Colombia</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9,356</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7</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11,284</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Bolsa Mexicana de Valores</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1,039</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2,935</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101,150</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7</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196,270</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Cboe Global Markets</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141,688,753</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263,150,137</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Nasdaq - US</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213,092,696</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MIAX Exchange Group</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81,162,819</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1,592,827</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ASX Australian Securities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44,312</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58</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376,874</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5,004,000</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9,473</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6,384,152</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Hong Kong Exchanges and Clearing</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241,534</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1,333</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39,835</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14,511,804</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76,567</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11,710,288</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Japan Exchange Group</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1,312</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15,606</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Korea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118,275,248</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103,190</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7,223,647</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91,424</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20,889</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National Stock Exchange of India</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Singapore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276,291</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51,105</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Taiwan Futures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3,146,624</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26,021</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373,674</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9,908</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146</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4,775</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Thailand Futures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3,307,896</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2,017,809</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Athens Stock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760,574</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154</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344,821</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2,171</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1,844</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BME Spanish Exchanges</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108,602</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39</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1,396,317</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1,265,403</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1,294</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7,174,824</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Borsa Istanbul</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143,312,941</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22,401</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8,039,425</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522,611</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89</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955,306</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Budapest Stock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6,043</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47</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5,264</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Deutsche Boerse AG</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4,235,942</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20,395</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6,814,846</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19,348,757</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91,458</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65,436,914</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Euronext</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973,026</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2,840</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1,641,436</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6,965,469</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27,011</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15,734,667</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Moscow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16,492,444</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6,164</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1,723,858</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160,601</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62</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393,960</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Nasdaq Nordic and Baltics</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275,467</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522</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1,756,440</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3,444</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Tehran Stock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2,757,571</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237</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Tel-Aviv Stock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48,889</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0</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76,407</w:t>
            </w:r>
          </w:p>
        </w:tc>
      </w:tr>
      <w:tr w:rsidR="00A12A17" w:rsidRPr="00797A8B" w:rsidTr="00A91C39">
        <w:trPr>
          <w:trHeight w:val="24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Warsaw Stock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200,220</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466</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44,505</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56"/>
        </w:trPr>
        <w:tc>
          <w:tcPr>
            <w:tcW w:w="3651" w:type="dxa"/>
            <w:tcBorders>
              <w:top w:val="nil"/>
              <w:left w:val="single" w:sz="8" w:space="0" w:color="auto"/>
              <w:bottom w:val="nil"/>
              <w:right w:val="single" w:sz="8" w:space="0" w:color="auto"/>
            </w:tcBorders>
            <w:shd w:val="clear" w:color="000000" w:fill="B4C6E7"/>
            <w:vAlign w:val="center"/>
            <w:hideMark/>
          </w:tcPr>
          <w:p w:rsidR="00A12A17" w:rsidRPr="00930E82" w:rsidRDefault="00A12A17" w:rsidP="00A91C39">
            <w:pPr>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Dubai Gold and Commodities Exchange</w:t>
            </w:r>
          </w:p>
        </w:tc>
        <w:tc>
          <w:tcPr>
            <w:tcW w:w="1189"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4,625</w:t>
            </w:r>
          </w:p>
        </w:tc>
        <w:tc>
          <w:tcPr>
            <w:tcW w:w="1150" w:type="dxa"/>
            <w:tcBorders>
              <w:top w:val="nil"/>
              <w:left w:val="nil"/>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16</w:t>
            </w:r>
          </w:p>
        </w:tc>
        <w:tc>
          <w:tcPr>
            <w:tcW w:w="1152"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 xml:space="preserve"> 220</w:t>
            </w:r>
          </w:p>
        </w:tc>
        <w:tc>
          <w:tcPr>
            <w:tcW w:w="1189"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50" w:type="dxa"/>
            <w:tcBorders>
              <w:top w:val="nil"/>
              <w:left w:val="nil"/>
              <w:bottom w:val="nil"/>
              <w:right w:val="nil"/>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c>
          <w:tcPr>
            <w:tcW w:w="1175" w:type="dxa"/>
            <w:tcBorders>
              <w:top w:val="nil"/>
              <w:left w:val="single" w:sz="8" w:space="0" w:color="auto"/>
              <w:bottom w:val="nil"/>
              <w:right w:val="single" w:sz="8" w:space="0" w:color="auto"/>
            </w:tcBorders>
            <w:shd w:val="clear" w:color="auto" w:fill="auto"/>
            <w:vAlign w:val="center"/>
            <w:hideMark/>
          </w:tcPr>
          <w:p w:rsidR="00A12A17" w:rsidRPr="00930E82" w:rsidRDefault="00A12A17" w:rsidP="00A91C39">
            <w:pPr>
              <w:jc w:val="right"/>
              <w:rPr>
                <w:rFonts w:ascii="Garamond" w:eastAsia="Times New Roman" w:hAnsi="Garamond" w:cs="Calibri"/>
                <w:color w:val="000000"/>
                <w:sz w:val="20"/>
                <w:szCs w:val="20"/>
                <w:lang w:val="en-US" w:bidi="hi-IN"/>
              </w:rPr>
            </w:pPr>
            <w:r w:rsidRPr="00930E82">
              <w:rPr>
                <w:rFonts w:ascii="Garamond" w:eastAsia="Times New Roman" w:hAnsi="Garamond" w:cs="Calibri"/>
                <w:color w:val="000000"/>
                <w:sz w:val="20"/>
                <w:szCs w:val="20"/>
                <w:lang w:val="en-US" w:bidi="hi-IN"/>
              </w:rPr>
              <w:t>NA</w:t>
            </w:r>
          </w:p>
        </w:tc>
      </w:tr>
      <w:tr w:rsidR="00A12A17" w:rsidRPr="00797A8B" w:rsidTr="00A91C39">
        <w:trPr>
          <w:trHeight w:val="256"/>
        </w:trPr>
        <w:tc>
          <w:tcPr>
            <w:tcW w:w="3651" w:type="dxa"/>
            <w:tcBorders>
              <w:top w:val="single" w:sz="8" w:space="0" w:color="auto"/>
              <w:left w:val="single" w:sz="8" w:space="0" w:color="auto"/>
              <w:bottom w:val="single" w:sz="8" w:space="0" w:color="auto"/>
              <w:right w:val="nil"/>
            </w:tcBorders>
            <w:shd w:val="clear" w:color="000000" w:fill="D9E1F2"/>
            <w:vAlign w:val="center"/>
            <w:hideMark/>
          </w:tcPr>
          <w:p w:rsidR="00A12A17" w:rsidRPr="00930E82" w:rsidRDefault="00A12A17" w:rsidP="00A91C39">
            <w:pPr>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Grand Total</w:t>
            </w:r>
          </w:p>
        </w:tc>
        <w:tc>
          <w:tcPr>
            <w:tcW w:w="1189" w:type="dxa"/>
            <w:tcBorders>
              <w:top w:val="single" w:sz="8" w:space="0" w:color="auto"/>
              <w:left w:val="nil"/>
              <w:bottom w:val="single" w:sz="8" w:space="0" w:color="auto"/>
              <w:right w:val="nil"/>
            </w:tcBorders>
            <w:shd w:val="clear" w:color="000000" w:fill="D9E1F2"/>
            <w:vAlign w:val="bottom"/>
            <w:hideMark/>
          </w:tcPr>
          <w:p w:rsidR="00A12A17" w:rsidRPr="00930E82" w:rsidRDefault="00A12A17" w:rsidP="00A91C39">
            <w:pPr>
              <w:jc w:val="right"/>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 xml:space="preserve"> 350,646,284</w:t>
            </w:r>
          </w:p>
        </w:tc>
        <w:tc>
          <w:tcPr>
            <w:tcW w:w="1150" w:type="dxa"/>
            <w:tcBorders>
              <w:top w:val="single" w:sz="8" w:space="0" w:color="auto"/>
              <w:left w:val="nil"/>
              <w:bottom w:val="single" w:sz="8" w:space="0" w:color="auto"/>
              <w:right w:val="nil"/>
            </w:tcBorders>
            <w:shd w:val="clear" w:color="000000" w:fill="D9E1F2"/>
            <w:vAlign w:val="bottom"/>
            <w:hideMark/>
          </w:tcPr>
          <w:p w:rsidR="00A12A17" w:rsidRPr="00930E82" w:rsidRDefault="00A12A17" w:rsidP="00A91C39">
            <w:pPr>
              <w:jc w:val="right"/>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 xml:space="preserve"> 184,158</w:t>
            </w:r>
          </w:p>
        </w:tc>
        <w:tc>
          <w:tcPr>
            <w:tcW w:w="1152" w:type="dxa"/>
            <w:tcBorders>
              <w:top w:val="single" w:sz="8" w:space="0" w:color="auto"/>
              <w:left w:val="nil"/>
              <w:bottom w:val="single" w:sz="8" w:space="0" w:color="auto"/>
              <w:right w:val="nil"/>
            </w:tcBorders>
            <w:shd w:val="clear" w:color="000000" w:fill="D9E1F2"/>
            <w:vAlign w:val="bottom"/>
            <w:hideMark/>
          </w:tcPr>
          <w:p w:rsidR="00A12A17" w:rsidRPr="00930E82" w:rsidRDefault="00A12A17" w:rsidP="00A91C39">
            <w:pPr>
              <w:jc w:val="right"/>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 xml:space="preserve"> 53,053,255</w:t>
            </w:r>
          </w:p>
        </w:tc>
        <w:tc>
          <w:tcPr>
            <w:tcW w:w="1189" w:type="dxa"/>
            <w:tcBorders>
              <w:top w:val="single" w:sz="8" w:space="0" w:color="auto"/>
              <w:left w:val="nil"/>
              <w:bottom w:val="single" w:sz="8" w:space="0" w:color="auto"/>
              <w:right w:val="nil"/>
            </w:tcBorders>
            <w:shd w:val="clear" w:color="000000" w:fill="D9E1F2"/>
            <w:vAlign w:val="bottom"/>
            <w:hideMark/>
          </w:tcPr>
          <w:p w:rsidR="00A12A17" w:rsidRPr="00930E82" w:rsidRDefault="00A12A17" w:rsidP="00A91C39">
            <w:pPr>
              <w:jc w:val="right"/>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 xml:space="preserve"> 628,359,620</w:t>
            </w:r>
          </w:p>
        </w:tc>
        <w:tc>
          <w:tcPr>
            <w:tcW w:w="1150" w:type="dxa"/>
            <w:tcBorders>
              <w:top w:val="single" w:sz="8" w:space="0" w:color="auto"/>
              <w:left w:val="nil"/>
              <w:bottom w:val="single" w:sz="8" w:space="0" w:color="auto"/>
              <w:right w:val="nil"/>
            </w:tcBorders>
            <w:shd w:val="clear" w:color="000000" w:fill="D9E1F2"/>
            <w:vAlign w:val="bottom"/>
            <w:hideMark/>
          </w:tcPr>
          <w:p w:rsidR="00A12A17" w:rsidRPr="00930E82" w:rsidRDefault="00A12A17" w:rsidP="00A91C39">
            <w:pPr>
              <w:jc w:val="right"/>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 xml:space="preserve"> 1,903,115</w:t>
            </w:r>
          </w:p>
        </w:tc>
        <w:tc>
          <w:tcPr>
            <w:tcW w:w="1175" w:type="dxa"/>
            <w:tcBorders>
              <w:top w:val="single" w:sz="8" w:space="0" w:color="auto"/>
              <w:left w:val="nil"/>
              <w:bottom w:val="single" w:sz="8" w:space="0" w:color="auto"/>
              <w:right w:val="single" w:sz="8" w:space="0" w:color="auto"/>
            </w:tcBorders>
            <w:shd w:val="clear" w:color="000000" w:fill="D9E1F2"/>
            <w:vAlign w:val="bottom"/>
            <w:hideMark/>
          </w:tcPr>
          <w:p w:rsidR="00A12A17" w:rsidRPr="00930E82" w:rsidRDefault="00A12A17" w:rsidP="00A91C39">
            <w:pPr>
              <w:jc w:val="right"/>
              <w:rPr>
                <w:rFonts w:ascii="Garamond" w:eastAsia="Times New Roman" w:hAnsi="Garamond" w:cs="Calibri"/>
                <w:b/>
                <w:bCs/>
                <w:color w:val="000000"/>
                <w:sz w:val="20"/>
                <w:szCs w:val="20"/>
                <w:lang w:val="en-US" w:bidi="hi-IN"/>
              </w:rPr>
            </w:pPr>
            <w:r w:rsidRPr="00930E82">
              <w:rPr>
                <w:rFonts w:ascii="Garamond" w:eastAsia="Times New Roman" w:hAnsi="Garamond" w:cs="Calibri"/>
                <w:b/>
                <w:bCs/>
                <w:color w:val="000000"/>
                <w:sz w:val="20"/>
                <w:szCs w:val="20"/>
                <w:lang w:val="en-US" w:bidi="hi-IN"/>
              </w:rPr>
              <w:t xml:space="preserve"> 420,488,221</w:t>
            </w:r>
          </w:p>
        </w:tc>
      </w:tr>
    </w:tbl>
    <w:p w:rsidR="00A12A17" w:rsidRPr="00E25198" w:rsidRDefault="00A12A17" w:rsidP="00A12A17">
      <w:pPr>
        <w:tabs>
          <w:tab w:val="left" w:pos="3306"/>
          <w:tab w:val="left" w:pos="4629"/>
          <w:tab w:val="left" w:pos="5685"/>
          <w:tab w:val="left" w:pos="6835"/>
          <w:tab w:val="left" w:pos="7999"/>
          <w:tab w:val="left" w:pos="9070"/>
        </w:tabs>
        <w:spacing w:line="23" w:lineRule="atLeast"/>
        <w:rPr>
          <w:rFonts w:ascii="Garamond" w:eastAsia="Times New Roman" w:hAnsi="Garamond" w:cs="Calibri"/>
          <w:color w:val="000000"/>
          <w:sz w:val="20"/>
          <w:szCs w:val="20"/>
          <w:lang w:val="en-IN" w:eastAsia="en-IN"/>
        </w:rPr>
      </w:pPr>
      <w:r w:rsidRPr="00E25198">
        <w:rPr>
          <w:rFonts w:ascii="Garamond" w:hAnsi="Garamond"/>
          <w:bCs/>
          <w:sz w:val="18"/>
          <w:szCs w:val="18"/>
        </w:rPr>
        <w:t xml:space="preserve"> NA: Not Available</w:t>
      </w:r>
    </w:p>
    <w:p w:rsidR="00A12A17" w:rsidRPr="00E25198" w:rsidRDefault="00A12A17" w:rsidP="00A12A17">
      <w:pPr>
        <w:tabs>
          <w:tab w:val="left" w:pos="3306"/>
          <w:tab w:val="left" w:pos="4629"/>
          <w:tab w:val="left" w:pos="5685"/>
          <w:tab w:val="left" w:pos="6835"/>
          <w:tab w:val="left" w:pos="7999"/>
          <w:tab w:val="left" w:pos="9070"/>
        </w:tabs>
        <w:spacing w:line="23" w:lineRule="atLeast"/>
        <w:rPr>
          <w:rFonts w:ascii="Garamond" w:hAnsi="Garamond"/>
          <w:bCs/>
          <w:sz w:val="18"/>
          <w:szCs w:val="18"/>
        </w:rPr>
      </w:pPr>
      <w:r w:rsidRPr="00E25198">
        <w:rPr>
          <w:rFonts w:ascii="Garamond" w:hAnsi="Garamond"/>
          <w:bCs/>
          <w:sz w:val="18"/>
          <w:szCs w:val="18"/>
        </w:rPr>
        <w:t>Source: World Federation of Exchanges</w:t>
      </w:r>
    </w:p>
    <w:p w:rsidR="00A12A17" w:rsidRPr="00E25198" w:rsidRDefault="00A12A17" w:rsidP="00A12A17">
      <w:pPr>
        <w:rPr>
          <w:rFonts w:ascii="Garamond" w:eastAsia="Times New Roman" w:hAnsi="Garamond"/>
          <w:bCs/>
          <w:sz w:val="22"/>
          <w:szCs w:val="22"/>
          <w:lang w:val="en-US"/>
        </w:rPr>
      </w:pPr>
    </w:p>
    <w:p w:rsidR="00A12A17" w:rsidRPr="00E25198" w:rsidRDefault="00A12A17" w:rsidP="00A12A17">
      <w:pPr>
        <w:rPr>
          <w:rFonts w:ascii="Garamond" w:eastAsia="Times New Roman" w:hAnsi="Garamond"/>
          <w:bCs/>
          <w:sz w:val="22"/>
          <w:szCs w:val="22"/>
          <w:lang w:val="en-US"/>
        </w:rPr>
      </w:pPr>
      <w:r w:rsidRPr="00E25198">
        <w:rPr>
          <w:rFonts w:ascii="Garamond" w:eastAsia="Times New Roman" w:hAnsi="Garamond"/>
          <w:bCs/>
          <w:sz w:val="22"/>
          <w:szCs w:val="22"/>
          <w:lang w:val="en-US"/>
        </w:rPr>
        <w:br w:type="page"/>
      </w:r>
    </w:p>
    <w:p w:rsidR="00A12A17" w:rsidRPr="00E25198" w:rsidRDefault="00A12A17" w:rsidP="00A12A17">
      <w:pPr>
        <w:spacing w:line="23" w:lineRule="atLeast"/>
        <w:rPr>
          <w:rFonts w:ascii="Garamond" w:eastAsia="Times New Roman" w:hAnsi="Garamond"/>
          <w:b/>
          <w:bCs/>
          <w:szCs w:val="22"/>
          <w:lang w:val="en-US"/>
        </w:rPr>
      </w:pPr>
      <w:r w:rsidRPr="00E25198">
        <w:rPr>
          <w:rFonts w:ascii="Garamond" w:eastAsia="Times New Roman" w:hAnsi="Garamond"/>
          <w:b/>
          <w:bCs/>
          <w:szCs w:val="22"/>
          <w:lang w:val="en-US"/>
        </w:rPr>
        <w:t xml:space="preserve">Table A5: Index Futures and Index Options Traded in Major Exchanges </w:t>
      </w:r>
    </w:p>
    <w:p w:rsidR="00A12A17" w:rsidRPr="00E25198" w:rsidRDefault="00A12A17" w:rsidP="00A12A17">
      <w:pPr>
        <w:spacing w:line="23" w:lineRule="atLeast"/>
        <w:ind w:right="-177"/>
        <w:jc w:val="right"/>
        <w:rPr>
          <w:rFonts w:ascii="Garamond" w:eastAsia="Times New Roman" w:hAnsi="Garamond"/>
          <w:bCs/>
          <w:sz w:val="22"/>
          <w:szCs w:val="22"/>
          <w:lang w:val="en-US"/>
        </w:rPr>
      </w:pPr>
      <w:r w:rsidRPr="00E25198">
        <w:rPr>
          <w:rFonts w:ascii="Garamond" w:hAnsi="Garamond"/>
          <w:bCs/>
          <w:sz w:val="22"/>
          <w:szCs w:val="22"/>
        </w:rPr>
        <w:t>Notional Turnover in (USD million)</w:t>
      </w:r>
    </w:p>
    <w:tbl>
      <w:tblPr>
        <w:tblW w:w="10588" w:type="dxa"/>
        <w:tblLook w:val="04A0" w:firstRow="1" w:lastRow="0" w:firstColumn="1" w:lastColumn="0" w:noHBand="0" w:noVBand="1"/>
      </w:tblPr>
      <w:tblGrid>
        <w:gridCol w:w="3689"/>
        <w:gridCol w:w="1164"/>
        <w:gridCol w:w="1146"/>
        <w:gridCol w:w="1146"/>
        <w:gridCol w:w="1150"/>
        <w:gridCol w:w="1146"/>
        <w:gridCol w:w="1147"/>
      </w:tblGrid>
      <w:tr w:rsidR="00A12A17" w:rsidRPr="00797A8B" w:rsidTr="00A91C39">
        <w:trPr>
          <w:trHeight w:val="260"/>
        </w:trPr>
        <w:tc>
          <w:tcPr>
            <w:tcW w:w="3705"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Exchange</w:t>
            </w:r>
          </w:p>
        </w:tc>
        <w:tc>
          <w:tcPr>
            <w:tcW w:w="6883" w:type="dxa"/>
            <w:gridSpan w:val="6"/>
            <w:tcBorders>
              <w:top w:val="single" w:sz="4" w:space="0" w:color="auto"/>
              <w:left w:val="nil"/>
              <w:bottom w:val="single" w:sz="4" w:space="0" w:color="auto"/>
              <w:right w:val="single" w:sz="4" w:space="0" w:color="auto"/>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Feb-21</w:t>
            </w:r>
          </w:p>
        </w:tc>
      </w:tr>
      <w:tr w:rsidR="00A12A17" w:rsidRPr="00797A8B" w:rsidTr="00A91C39">
        <w:trPr>
          <w:trHeight w:val="271"/>
        </w:trPr>
        <w:tc>
          <w:tcPr>
            <w:tcW w:w="3705" w:type="dxa"/>
            <w:vMerge/>
            <w:tcBorders>
              <w:top w:val="single" w:sz="4" w:space="0" w:color="auto"/>
              <w:left w:val="single" w:sz="4" w:space="0" w:color="auto"/>
              <w:bottom w:val="single" w:sz="4" w:space="0" w:color="auto"/>
              <w:right w:val="single" w:sz="4" w:space="0" w:color="auto"/>
            </w:tcBorders>
            <w:vAlign w:val="center"/>
            <w:hideMark/>
          </w:tcPr>
          <w:p w:rsidR="00A12A17" w:rsidRPr="00431567" w:rsidRDefault="00A12A17" w:rsidP="00A91C39">
            <w:pPr>
              <w:rPr>
                <w:rFonts w:ascii="Garamond" w:eastAsia="Times New Roman" w:hAnsi="Garamond" w:cs="Calibri"/>
                <w:b/>
                <w:bCs/>
                <w:color w:val="000000"/>
                <w:sz w:val="20"/>
                <w:szCs w:val="20"/>
                <w:lang w:val="en-US" w:bidi="hi-IN"/>
              </w:rPr>
            </w:pPr>
          </w:p>
        </w:tc>
        <w:tc>
          <w:tcPr>
            <w:tcW w:w="3441" w:type="dxa"/>
            <w:gridSpan w:val="3"/>
            <w:tcBorders>
              <w:top w:val="single" w:sz="4" w:space="0" w:color="auto"/>
              <w:left w:val="nil"/>
              <w:bottom w:val="single" w:sz="4" w:space="0" w:color="auto"/>
              <w:right w:val="single" w:sz="4" w:space="0" w:color="000000"/>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Stock Index Futures</w:t>
            </w:r>
          </w:p>
        </w:tc>
        <w:tc>
          <w:tcPr>
            <w:tcW w:w="3441" w:type="dxa"/>
            <w:gridSpan w:val="3"/>
            <w:tcBorders>
              <w:top w:val="single" w:sz="4" w:space="0" w:color="auto"/>
              <w:left w:val="single" w:sz="4" w:space="0" w:color="auto"/>
              <w:bottom w:val="single" w:sz="4" w:space="0" w:color="auto"/>
              <w:right w:val="single" w:sz="4" w:space="0" w:color="000000"/>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Stock Index Options</w:t>
            </w:r>
          </w:p>
        </w:tc>
      </w:tr>
      <w:tr w:rsidR="00A12A17" w:rsidRPr="00797A8B" w:rsidTr="00A91C39">
        <w:trPr>
          <w:trHeight w:val="727"/>
        </w:trPr>
        <w:tc>
          <w:tcPr>
            <w:tcW w:w="3705" w:type="dxa"/>
            <w:vMerge/>
            <w:tcBorders>
              <w:top w:val="single" w:sz="4" w:space="0" w:color="auto"/>
              <w:left w:val="single" w:sz="4" w:space="0" w:color="auto"/>
              <w:bottom w:val="single" w:sz="4" w:space="0" w:color="auto"/>
              <w:right w:val="single" w:sz="4" w:space="0" w:color="auto"/>
            </w:tcBorders>
            <w:vAlign w:val="center"/>
            <w:hideMark/>
          </w:tcPr>
          <w:p w:rsidR="00A12A17" w:rsidRPr="00431567" w:rsidRDefault="00A12A17" w:rsidP="00A91C39">
            <w:pPr>
              <w:rPr>
                <w:rFonts w:ascii="Garamond" w:eastAsia="Times New Roman" w:hAnsi="Garamond" w:cs="Calibri"/>
                <w:b/>
                <w:bCs/>
                <w:color w:val="000000"/>
                <w:sz w:val="20"/>
                <w:szCs w:val="20"/>
                <w:lang w:val="en-US" w:bidi="hi-IN"/>
              </w:rPr>
            </w:pPr>
          </w:p>
        </w:tc>
        <w:tc>
          <w:tcPr>
            <w:tcW w:w="1147" w:type="dxa"/>
            <w:tcBorders>
              <w:top w:val="single" w:sz="4" w:space="0" w:color="auto"/>
              <w:left w:val="nil"/>
              <w:bottom w:val="single" w:sz="4" w:space="0" w:color="auto"/>
              <w:right w:val="single" w:sz="4" w:space="0" w:color="auto"/>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Number of</w:t>
            </w:r>
            <w:r w:rsidRPr="00431567">
              <w:rPr>
                <w:rFonts w:ascii="Garamond" w:eastAsia="Times New Roman" w:hAnsi="Garamond" w:cs="Calibri"/>
                <w:b/>
                <w:bCs/>
                <w:color w:val="000000"/>
                <w:sz w:val="20"/>
                <w:szCs w:val="20"/>
                <w:lang w:val="en-US" w:bidi="hi-IN"/>
              </w:rPr>
              <w:br/>
              <w:t>Contracts Traded</w:t>
            </w:r>
          </w:p>
        </w:tc>
        <w:tc>
          <w:tcPr>
            <w:tcW w:w="1147" w:type="dxa"/>
            <w:tcBorders>
              <w:top w:val="single" w:sz="4" w:space="0" w:color="auto"/>
              <w:left w:val="nil"/>
              <w:bottom w:val="single" w:sz="4" w:space="0" w:color="auto"/>
              <w:right w:val="single" w:sz="4" w:space="0" w:color="auto"/>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Notional</w:t>
            </w:r>
            <w:r w:rsidRPr="00431567">
              <w:rPr>
                <w:rFonts w:ascii="Garamond" w:eastAsia="Times New Roman" w:hAnsi="Garamond" w:cs="Calibri"/>
                <w:b/>
                <w:bCs/>
                <w:color w:val="000000"/>
                <w:sz w:val="20"/>
                <w:szCs w:val="20"/>
                <w:lang w:val="en-US" w:bidi="hi-IN"/>
              </w:rPr>
              <w:br/>
              <w:t>Turnover</w:t>
            </w:r>
          </w:p>
        </w:tc>
        <w:tc>
          <w:tcPr>
            <w:tcW w:w="1147" w:type="dxa"/>
            <w:tcBorders>
              <w:top w:val="single" w:sz="4" w:space="0" w:color="auto"/>
              <w:left w:val="nil"/>
              <w:bottom w:val="single" w:sz="4" w:space="0" w:color="auto"/>
              <w:right w:val="single" w:sz="4" w:space="0" w:color="auto"/>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Open</w:t>
            </w:r>
            <w:r w:rsidRPr="00431567">
              <w:rPr>
                <w:rFonts w:ascii="Garamond" w:eastAsia="Times New Roman" w:hAnsi="Garamond" w:cs="Calibri"/>
                <w:b/>
                <w:bCs/>
                <w:color w:val="000000"/>
                <w:sz w:val="20"/>
                <w:szCs w:val="20"/>
                <w:lang w:val="en-US" w:bidi="hi-IN"/>
              </w:rPr>
              <w:br/>
              <w:t>Interest</w:t>
            </w:r>
          </w:p>
        </w:tc>
        <w:tc>
          <w:tcPr>
            <w:tcW w:w="1147" w:type="dxa"/>
            <w:tcBorders>
              <w:top w:val="single" w:sz="4" w:space="0" w:color="auto"/>
              <w:left w:val="nil"/>
              <w:bottom w:val="single" w:sz="4" w:space="0" w:color="auto"/>
              <w:right w:val="single" w:sz="4" w:space="0" w:color="auto"/>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Number of</w:t>
            </w:r>
            <w:r w:rsidRPr="00431567">
              <w:rPr>
                <w:rFonts w:ascii="Garamond" w:eastAsia="Times New Roman" w:hAnsi="Garamond" w:cs="Calibri"/>
                <w:b/>
                <w:bCs/>
                <w:color w:val="000000"/>
                <w:sz w:val="20"/>
                <w:szCs w:val="20"/>
                <w:lang w:val="en-US" w:bidi="hi-IN"/>
              </w:rPr>
              <w:br/>
              <w:t>Contracts Traded</w:t>
            </w:r>
          </w:p>
        </w:tc>
        <w:tc>
          <w:tcPr>
            <w:tcW w:w="1147" w:type="dxa"/>
            <w:tcBorders>
              <w:top w:val="single" w:sz="4" w:space="0" w:color="auto"/>
              <w:left w:val="nil"/>
              <w:bottom w:val="single" w:sz="4" w:space="0" w:color="auto"/>
              <w:right w:val="single" w:sz="4" w:space="0" w:color="auto"/>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Notional</w:t>
            </w:r>
            <w:r w:rsidRPr="00431567">
              <w:rPr>
                <w:rFonts w:ascii="Garamond" w:eastAsia="Times New Roman" w:hAnsi="Garamond" w:cs="Calibri"/>
                <w:b/>
                <w:bCs/>
                <w:color w:val="000000"/>
                <w:sz w:val="20"/>
                <w:szCs w:val="20"/>
                <w:lang w:val="en-US" w:bidi="hi-IN"/>
              </w:rPr>
              <w:br/>
              <w:t>Turnover</w:t>
            </w:r>
          </w:p>
        </w:tc>
        <w:tc>
          <w:tcPr>
            <w:tcW w:w="1147" w:type="dxa"/>
            <w:tcBorders>
              <w:top w:val="single" w:sz="4" w:space="0" w:color="auto"/>
              <w:left w:val="nil"/>
              <w:bottom w:val="single" w:sz="4" w:space="0" w:color="auto"/>
              <w:right w:val="single" w:sz="4" w:space="0" w:color="auto"/>
            </w:tcBorders>
            <w:shd w:val="clear" w:color="000000" w:fill="B4C6E7"/>
            <w:vAlign w:val="center"/>
            <w:hideMark/>
          </w:tcPr>
          <w:p w:rsidR="00A12A17" w:rsidRPr="00431567" w:rsidRDefault="00A12A17" w:rsidP="00A91C39">
            <w:pPr>
              <w:jc w:val="cente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Open</w:t>
            </w:r>
            <w:r w:rsidRPr="00431567">
              <w:rPr>
                <w:rFonts w:ascii="Garamond" w:eastAsia="Times New Roman" w:hAnsi="Garamond" w:cs="Calibri"/>
                <w:b/>
                <w:bCs/>
                <w:color w:val="000000"/>
                <w:sz w:val="20"/>
                <w:szCs w:val="20"/>
                <w:lang w:val="en-US" w:bidi="hi-IN"/>
              </w:rPr>
              <w:br/>
              <w:t>Interest</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B3 - Brasil Bolsa Balcão</w:t>
            </w:r>
          </w:p>
        </w:tc>
        <w:tc>
          <w:tcPr>
            <w:tcW w:w="1147" w:type="dxa"/>
            <w:tcBorders>
              <w:top w:val="single" w:sz="8" w:space="0" w:color="auto"/>
              <w:left w:val="single" w:sz="8" w:space="0" w:color="auto"/>
              <w:bottom w:val="nil"/>
              <w:right w:val="single" w:sz="8" w:space="0" w:color="auto"/>
            </w:tcBorders>
            <w:shd w:val="clear" w:color="auto" w:fill="auto"/>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317,928,898</w:t>
            </w:r>
          </w:p>
        </w:tc>
        <w:tc>
          <w:tcPr>
            <w:tcW w:w="1147" w:type="dxa"/>
            <w:tcBorders>
              <w:top w:val="single" w:sz="8" w:space="0" w:color="auto"/>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1,830,556</w:t>
            </w:r>
          </w:p>
        </w:tc>
        <w:tc>
          <w:tcPr>
            <w:tcW w:w="1147" w:type="dxa"/>
            <w:tcBorders>
              <w:top w:val="single" w:sz="8" w:space="0" w:color="auto"/>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1,154,165</w:t>
            </w:r>
          </w:p>
        </w:tc>
        <w:tc>
          <w:tcPr>
            <w:tcW w:w="1147" w:type="dxa"/>
            <w:tcBorders>
              <w:top w:val="single" w:sz="8" w:space="0" w:color="auto"/>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4,441,006</w:t>
            </w:r>
          </w:p>
        </w:tc>
        <w:tc>
          <w:tcPr>
            <w:tcW w:w="1147" w:type="dxa"/>
            <w:tcBorders>
              <w:top w:val="single" w:sz="8" w:space="0" w:color="auto"/>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44,262</w:t>
            </w:r>
          </w:p>
        </w:tc>
        <w:tc>
          <w:tcPr>
            <w:tcW w:w="1147" w:type="dxa"/>
            <w:tcBorders>
              <w:top w:val="single" w:sz="8" w:space="0" w:color="auto"/>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510,672</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Bolsa de Valores de Colombia</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2,301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4,590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Bolsa Mexicana de Valores</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18,879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425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16,524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353</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418</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Cboe Global Markets</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36,940,744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23,657,049</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Pr>
                <w:rFonts w:ascii="Garamond" w:eastAsia="Times New Roman" w:hAnsi="Garamond" w:cs="Calibri"/>
                <w:color w:val="000000"/>
                <w:sz w:val="20"/>
                <w:szCs w:val="20"/>
                <w:lang w:val="en-US" w:bidi="hi-IN"/>
              </w:rPr>
              <w:t>Nasdaq -</w:t>
            </w:r>
            <w:r w:rsidRPr="00431567">
              <w:rPr>
                <w:rFonts w:ascii="Garamond" w:eastAsia="Times New Roman" w:hAnsi="Garamond" w:cs="Calibri"/>
                <w:color w:val="000000"/>
                <w:sz w:val="20"/>
                <w:szCs w:val="20"/>
                <w:lang w:val="en-US" w:bidi="hi-IN"/>
              </w:rPr>
              <w:t xml:space="preserve"> US</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363,271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MIAX Exchange Group</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5,000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17</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Matba Rofex</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71,480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85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10,466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969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356</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CME Group</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92,186,967</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10,915,643</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4,780,114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12,710,195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2,708,419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3,201,844</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Cboe Futures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5,109,840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388,306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ASX Australian Securities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829,154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93,657</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285,200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408,238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18,411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414,867</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Hong Kong Exchanges and Clearing</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7,952,265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813,125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549,346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1,711,116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198,394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2,060,951</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Japan Exchange Group</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21,271,609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1,069,109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1,617,444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2,158,757</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1,575,650</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Korea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11,006,772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580,168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633,795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59,371,920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5,195,445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2,249,400</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National Stock Exchange of India</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Singapore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12,747,210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1,344,422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554,415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1,606,487</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Taiwan Futures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7,422,524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424,229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179,354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12,007,296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315,699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508,221</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Thailand Futures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3,355,038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347,562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120,936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91,896</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Bursa Malaysia Derivatives</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223,471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4,175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35,159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670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278</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China Financial Futures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4,503,932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919,404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535,382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2,017,073</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3,238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194,128</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Athens Stock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29,239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120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5,450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2,350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1,138</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BME Spanish Exchanges</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493,729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37,254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113,140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146,733</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1,318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513,995</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Borsa Istanbul</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8,561,943</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23,974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515,947</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16,756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23,956</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Budapest Stock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36,081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9,679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0</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Deutsche Boerse AG</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29,561,730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1,404,128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10,770,400</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30,419,466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1,083,448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50,806,344</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Euronext</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2,265,199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179,922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573,311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1,465,838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101,371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645,671</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Moscow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13,930,641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45,356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614,818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1,400,068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4,621</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471,602</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Nasdaq Nordic and Baltics</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2,404,349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51,878</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428,332</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9,267</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r>
      <w:tr w:rsidR="00A12A17" w:rsidRPr="00797A8B" w:rsidTr="00A91C39">
        <w:trPr>
          <w:trHeight w:val="260"/>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Tel-Aviv Stock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NA</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1,966,679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89,894</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156,528</w:t>
            </w:r>
          </w:p>
        </w:tc>
      </w:tr>
      <w:tr w:rsidR="00A12A17" w:rsidRPr="00797A8B" w:rsidTr="00A91C39">
        <w:trPr>
          <w:trHeight w:val="271"/>
        </w:trPr>
        <w:tc>
          <w:tcPr>
            <w:tcW w:w="3705" w:type="dxa"/>
            <w:tcBorders>
              <w:top w:val="nil"/>
              <w:left w:val="single" w:sz="4" w:space="0" w:color="auto"/>
              <w:bottom w:val="nil"/>
              <w:right w:val="nil"/>
            </w:tcBorders>
            <w:shd w:val="clear" w:color="000000" w:fill="B4C6E7"/>
            <w:vAlign w:val="center"/>
            <w:hideMark/>
          </w:tcPr>
          <w:p w:rsidR="00A12A17" w:rsidRPr="00431567" w:rsidRDefault="00A12A17" w:rsidP="00A91C39">
            <w:pPr>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Warsaw Stock Exchange</w:t>
            </w:r>
          </w:p>
        </w:tc>
        <w:tc>
          <w:tcPr>
            <w:tcW w:w="1147" w:type="dxa"/>
            <w:tcBorders>
              <w:top w:val="nil"/>
              <w:left w:val="single" w:sz="8" w:space="0" w:color="auto"/>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453,385</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4,547</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41,356</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25,679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129</w:t>
            </w:r>
          </w:p>
        </w:tc>
        <w:tc>
          <w:tcPr>
            <w:tcW w:w="1147" w:type="dxa"/>
            <w:tcBorders>
              <w:top w:val="nil"/>
              <w:left w:val="nil"/>
              <w:bottom w:val="nil"/>
              <w:right w:val="single" w:sz="8" w:space="0" w:color="auto"/>
            </w:tcBorders>
            <w:shd w:val="clear" w:color="auto" w:fill="auto"/>
            <w:vAlign w:val="center"/>
            <w:hideMark/>
          </w:tcPr>
          <w:p w:rsidR="00A12A17" w:rsidRPr="00431567" w:rsidRDefault="00A12A17" w:rsidP="00A91C39">
            <w:pPr>
              <w:jc w:val="right"/>
              <w:rPr>
                <w:rFonts w:ascii="Garamond" w:eastAsia="Times New Roman" w:hAnsi="Garamond" w:cs="Calibri"/>
                <w:color w:val="000000"/>
                <w:sz w:val="20"/>
                <w:szCs w:val="20"/>
                <w:lang w:val="en-US" w:bidi="hi-IN"/>
              </w:rPr>
            </w:pPr>
            <w:r w:rsidRPr="00431567">
              <w:rPr>
                <w:rFonts w:ascii="Garamond" w:eastAsia="Times New Roman" w:hAnsi="Garamond" w:cs="Calibri"/>
                <w:color w:val="000000"/>
                <w:sz w:val="20"/>
                <w:szCs w:val="20"/>
                <w:lang w:val="en-US" w:bidi="hi-IN"/>
              </w:rPr>
              <w:t xml:space="preserve"> 24,228</w:t>
            </w:r>
          </w:p>
        </w:tc>
      </w:tr>
      <w:tr w:rsidR="00A12A17" w:rsidRPr="00797A8B" w:rsidTr="00A91C39">
        <w:trPr>
          <w:trHeight w:val="271"/>
        </w:trPr>
        <w:tc>
          <w:tcPr>
            <w:tcW w:w="3705" w:type="dxa"/>
            <w:tcBorders>
              <w:top w:val="single" w:sz="8" w:space="0" w:color="auto"/>
              <w:left w:val="single" w:sz="8" w:space="0" w:color="auto"/>
              <w:bottom w:val="single" w:sz="8" w:space="0" w:color="auto"/>
              <w:right w:val="nil"/>
            </w:tcBorders>
            <w:shd w:val="clear" w:color="000000" w:fill="D9E1F2"/>
            <w:vAlign w:val="center"/>
            <w:hideMark/>
          </w:tcPr>
          <w:p w:rsidR="00A12A17" w:rsidRPr="00431567" w:rsidRDefault="00A12A17" w:rsidP="00A91C39">
            <w:pPr>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Grand Total</w:t>
            </w:r>
          </w:p>
        </w:tc>
        <w:tc>
          <w:tcPr>
            <w:tcW w:w="1147" w:type="dxa"/>
            <w:tcBorders>
              <w:top w:val="single" w:sz="8" w:space="0" w:color="auto"/>
              <w:left w:val="nil"/>
              <w:bottom w:val="single" w:sz="8" w:space="0" w:color="auto"/>
              <w:right w:val="nil"/>
            </w:tcBorders>
            <w:shd w:val="clear" w:color="000000" w:fill="D9E1F2"/>
            <w:vAlign w:val="bottom"/>
            <w:hideMark/>
          </w:tcPr>
          <w:p w:rsidR="00A12A17" w:rsidRPr="00431567" w:rsidRDefault="00A12A17" w:rsidP="00A91C39">
            <w:pPr>
              <w:jc w:val="right"/>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 xml:space="preserve"> 542,366,636</w:t>
            </w:r>
          </w:p>
        </w:tc>
        <w:tc>
          <w:tcPr>
            <w:tcW w:w="1147" w:type="dxa"/>
            <w:tcBorders>
              <w:top w:val="single" w:sz="8" w:space="0" w:color="auto"/>
              <w:left w:val="nil"/>
              <w:bottom w:val="single" w:sz="8" w:space="0" w:color="auto"/>
              <w:right w:val="nil"/>
            </w:tcBorders>
            <w:shd w:val="clear" w:color="000000" w:fill="D9E1F2"/>
            <w:vAlign w:val="bottom"/>
            <w:hideMark/>
          </w:tcPr>
          <w:p w:rsidR="00A12A17" w:rsidRPr="00431567" w:rsidRDefault="00A12A17" w:rsidP="00A91C39">
            <w:pPr>
              <w:jc w:val="right"/>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 xml:space="preserve"> 18,397,808</w:t>
            </w:r>
          </w:p>
        </w:tc>
        <w:tc>
          <w:tcPr>
            <w:tcW w:w="1147" w:type="dxa"/>
            <w:tcBorders>
              <w:top w:val="single" w:sz="8" w:space="0" w:color="auto"/>
              <w:left w:val="nil"/>
              <w:bottom w:val="single" w:sz="8" w:space="0" w:color="auto"/>
              <w:right w:val="nil"/>
            </w:tcBorders>
            <w:shd w:val="clear" w:color="000000" w:fill="D9E1F2"/>
            <w:vAlign w:val="bottom"/>
            <w:hideMark/>
          </w:tcPr>
          <w:p w:rsidR="00A12A17" w:rsidRPr="00431567" w:rsidRDefault="00A12A17" w:rsidP="00A91C39">
            <w:pPr>
              <w:jc w:val="right"/>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 xml:space="preserve"> 24,525,930</w:t>
            </w:r>
          </w:p>
        </w:tc>
        <w:tc>
          <w:tcPr>
            <w:tcW w:w="1147" w:type="dxa"/>
            <w:tcBorders>
              <w:top w:val="single" w:sz="8" w:space="0" w:color="auto"/>
              <w:left w:val="nil"/>
              <w:bottom w:val="single" w:sz="8" w:space="0" w:color="auto"/>
              <w:right w:val="nil"/>
            </w:tcBorders>
            <w:shd w:val="clear" w:color="000000" w:fill="D9E1F2"/>
            <w:vAlign w:val="bottom"/>
            <w:hideMark/>
          </w:tcPr>
          <w:p w:rsidR="00A12A17" w:rsidRPr="00431567" w:rsidRDefault="00A12A17" w:rsidP="00A91C39">
            <w:pPr>
              <w:jc w:val="right"/>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 xml:space="preserve"> 168,683,860</w:t>
            </w:r>
          </w:p>
        </w:tc>
        <w:tc>
          <w:tcPr>
            <w:tcW w:w="1147" w:type="dxa"/>
            <w:tcBorders>
              <w:top w:val="single" w:sz="8" w:space="0" w:color="auto"/>
              <w:left w:val="nil"/>
              <w:bottom w:val="single" w:sz="8" w:space="0" w:color="auto"/>
              <w:right w:val="nil"/>
            </w:tcBorders>
            <w:shd w:val="clear" w:color="000000" w:fill="D9E1F2"/>
            <w:vAlign w:val="bottom"/>
            <w:hideMark/>
          </w:tcPr>
          <w:p w:rsidR="00A12A17" w:rsidRPr="00431567" w:rsidRDefault="00A12A17" w:rsidP="00A91C39">
            <w:pPr>
              <w:jc w:val="right"/>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 xml:space="preserve"> 9,774,001</w:t>
            </w:r>
          </w:p>
        </w:tc>
        <w:tc>
          <w:tcPr>
            <w:tcW w:w="1147" w:type="dxa"/>
            <w:tcBorders>
              <w:top w:val="single" w:sz="8" w:space="0" w:color="auto"/>
              <w:left w:val="nil"/>
              <w:bottom w:val="single" w:sz="8" w:space="0" w:color="auto"/>
              <w:right w:val="single" w:sz="8" w:space="0" w:color="auto"/>
            </w:tcBorders>
            <w:shd w:val="clear" w:color="000000" w:fill="D9E1F2"/>
            <w:vAlign w:val="bottom"/>
            <w:hideMark/>
          </w:tcPr>
          <w:p w:rsidR="00A12A17" w:rsidRPr="00431567" w:rsidRDefault="00A12A17" w:rsidP="00A91C39">
            <w:pPr>
              <w:jc w:val="right"/>
              <w:rPr>
                <w:rFonts w:ascii="Garamond" w:eastAsia="Times New Roman" w:hAnsi="Garamond" w:cs="Calibri"/>
                <w:b/>
                <w:bCs/>
                <w:color w:val="000000"/>
                <w:sz w:val="20"/>
                <w:szCs w:val="20"/>
                <w:lang w:val="en-US" w:bidi="hi-IN"/>
              </w:rPr>
            </w:pPr>
            <w:r w:rsidRPr="00431567">
              <w:rPr>
                <w:rFonts w:ascii="Garamond" w:eastAsia="Times New Roman" w:hAnsi="Garamond" w:cs="Calibri"/>
                <w:b/>
                <w:bCs/>
                <w:color w:val="000000"/>
                <w:sz w:val="20"/>
                <w:szCs w:val="20"/>
                <w:lang w:val="en-US" w:bidi="hi-IN"/>
              </w:rPr>
              <w:t xml:space="preserve"> 88,715,679</w:t>
            </w:r>
          </w:p>
        </w:tc>
      </w:tr>
    </w:tbl>
    <w:p w:rsidR="00A12A17" w:rsidRPr="00E25198" w:rsidRDefault="00A12A17" w:rsidP="00A12A17">
      <w:pPr>
        <w:spacing w:line="23" w:lineRule="atLeast"/>
        <w:rPr>
          <w:rFonts w:ascii="Garamond" w:hAnsi="Garamond"/>
          <w:bCs/>
          <w:sz w:val="18"/>
          <w:szCs w:val="18"/>
        </w:rPr>
      </w:pPr>
    </w:p>
    <w:p w:rsidR="00A12A17" w:rsidRPr="00E25198" w:rsidRDefault="00A12A17" w:rsidP="00A12A17">
      <w:pPr>
        <w:spacing w:line="23" w:lineRule="atLeast"/>
        <w:jc w:val="both"/>
        <w:outlineLvl w:val="0"/>
        <w:rPr>
          <w:rFonts w:ascii="Garamond" w:eastAsia="Times New Roman" w:hAnsi="Garamond" w:cs="Calibri"/>
          <w:color w:val="000000"/>
          <w:sz w:val="20"/>
          <w:szCs w:val="20"/>
          <w:lang w:val="en-IN" w:eastAsia="en-IN"/>
        </w:rPr>
      </w:pPr>
      <w:r w:rsidRPr="00E25198">
        <w:rPr>
          <w:rFonts w:ascii="Garamond" w:hAnsi="Garamond"/>
          <w:bCs/>
          <w:sz w:val="18"/>
          <w:szCs w:val="18"/>
        </w:rPr>
        <w:t>NA: Not Available</w:t>
      </w:r>
      <w:r w:rsidRPr="00E25198">
        <w:rPr>
          <w:rFonts w:ascii="Garamond" w:eastAsia="Times New Roman" w:hAnsi="Garamond" w:cs="Calibri"/>
          <w:color w:val="000000"/>
          <w:sz w:val="20"/>
          <w:szCs w:val="20"/>
          <w:lang w:val="en-IN" w:eastAsia="en-IN"/>
        </w:rPr>
        <w:t>.</w:t>
      </w:r>
    </w:p>
    <w:p w:rsidR="00A12A17" w:rsidRPr="00E25198" w:rsidRDefault="00A12A17" w:rsidP="00A12A17">
      <w:pPr>
        <w:spacing w:line="23" w:lineRule="atLeast"/>
        <w:jc w:val="both"/>
        <w:outlineLvl w:val="0"/>
        <w:rPr>
          <w:rFonts w:ascii="Garamond" w:eastAsia="Times New Roman" w:hAnsi="Garamond"/>
          <w:bCs/>
          <w:sz w:val="18"/>
          <w:szCs w:val="18"/>
          <w:lang w:val="en-US"/>
        </w:rPr>
      </w:pPr>
      <w:r w:rsidRPr="00E25198">
        <w:rPr>
          <w:rFonts w:ascii="Garamond" w:hAnsi="Garamond"/>
          <w:bCs/>
          <w:sz w:val="18"/>
          <w:szCs w:val="18"/>
        </w:rPr>
        <w:t>Source: World Federation of Exchanges</w:t>
      </w:r>
      <w:r w:rsidRPr="00E25198">
        <w:rPr>
          <w:rFonts w:ascii="Garamond" w:eastAsia="Times New Roman" w:hAnsi="Garamond"/>
          <w:bCs/>
          <w:sz w:val="18"/>
          <w:szCs w:val="18"/>
          <w:lang w:val="en-US"/>
        </w:rPr>
        <w:tab/>
      </w:r>
    </w:p>
    <w:p w:rsidR="00A12A17" w:rsidRPr="00E25198" w:rsidRDefault="00A12A17" w:rsidP="00A12A17">
      <w:pPr>
        <w:spacing w:line="23" w:lineRule="atLeast"/>
        <w:jc w:val="both"/>
        <w:outlineLvl w:val="0"/>
        <w:rPr>
          <w:rFonts w:ascii="Garamond" w:eastAsia="Times New Roman" w:hAnsi="Garamond"/>
          <w:bCs/>
          <w:sz w:val="18"/>
          <w:szCs w:val="18"/>
          <w:lang w:val="en-US"/>
        </w:rPr>
      </w:pPr>
    </w:p>
    <w:p w:rsidR="00A12A17" w:rsidRPr="002061D1" w:rsidRDefault="00A12A17" w:rsidP="00A12A17">
      <w:pPr>
        <w:rPr>
          <w:rFonts w:ascii="Garamond" w:hAnsi="Garamond"/>
          <w:bCs/>
          <w:sz w:val="22"/>
          <w:szCs w:val="22"/>
        </w:rPr>
      </w:pPr>
      <w:r w:rsidRPr="00E25198">
        <w:rPr>
          <w:rFonts w:ascii="Garamond" w:hAnsi="Garamond"/>
          <w:bCs/>
          <w:sz w:val="22"/>
          <w:szCs w:val="22"/>
        </w:rPr>
        <w:br w:type="page"/>
      </w:r>
    </w:p>
    <w:p w:rsidR="00A12A17" w:rsidRPr="002061D1" w:rsidRDefault="00A12A17" w:rsidP="00A12A17">
      <w:pPr>
        <w:spacing w:line="23" w:lineRule="atLeast"/>
        <w:jc w:val="both"/>
        <w:rPr>
          <w:rFonts w:ascii="Garamond" w:hAnsi="Garamond"/>
          <w:b/>
          <w:sz w:val="28"/>
          <w:lang w:val="en-US"/>
        </w:rPr>
      </w:pPr>
      <w:r w:rsidRPr="002061D1">
        <w:rPr>
          <w:rFonts w:ascii="Garamond" w:hAnsi="Garamond"/>
          <w:b/>
          <w:bCs/>
          <w:szCs w:val="22"/>
        </w:rPr>
        <w:t>Table A6: Currency Futures and Options Traded in Major Exchanges</w:t>
      </w:r>
    </w:p>
    <w:p w:rsidR="00A12A17" w:rsidRPr="002061D1" w:rsidRDefault="00A12A17" w:rsidP="00A12A17">
      <w:pPr>
        <w:ind w:right="-318"/>
        <w:jc w:val="right"/>
        <w:rPr>
          <w:rFonts w:ascii="Garamond" w:eastAsia="Times New Roman" w:hAnsi="Garamond"/>
          <w:bCs/>
          <w:sz w:val="22"/>
          <w:szCs w:val="22"/>
          <w:lang w:val="en-US"/>
        </w:rPr>
      </w:pPr>
      <w:r w:rsidRPr="002061D1">
        <w:rPr>
          <w:rFonts w:ascii="Garamond" w:hAnsi="Garamond"/>
          <w:bCs/>
          <w:sz w:val="22"/>
          <w:szCs w:val="22"/>
        </w:rPr>
        <w:t>Notional Turnover in (USD million)</w:t>
      </w:r>
    </w:p>
    <w:tbl>
      <w:tblPr>
        <w:tblW w:w="10312" w:type="dxa"/>
        <w:tblLook w:val="04A0" w:firstRow="1" w:lastRow="0" w:firstColumn="1" w:lastColumn="0" w:noHBand="0" w:noVBand="1"/>
      </w:tblPr>
      <w:tblGrid>
        <w:gridCol w:w="3581"/>
        <w:gridCol w:w="1150"/>
        <w:gridCol w:w="1116"/>
        <w:gridCol w:w="1117"/>
        <w:gridCol w:w="1116"/>
        <w:gridCol w:w="1116"/>
        <w:gridCol w:w="1116"/>
      </w:tblGrid>
      <w:tr w:rsidR="00A12A17" w:rsidRPr="00797A8B" w:rsidTr="00A91C39">
        <w:trPr>
          <w:trHeight w:val="238"/>
        </w:trPr>
        <w:tc>
          <w:tcPr>
            <w:tcW w:w="3608"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Exchange</w:t>
            </w:r>
          </w:p>
        </w:tc>
        <w:tc>
          <w:tcPr>
            <w:tcW w:w="6704" w:type="dxa"/>
            <w:gridSpan w:val="6"/>
            <w:tcBorders>
              <w:top w:val="single" w:sz="4" w:space="0" w:color="auto"/>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Feb-21</w:t>
            </w:r>
          </w:p>
        </w:tc>
      </w:tr>
      <w:tr w:rsidR="00A12A17" w:rsidRPr="00797A8B" w:rsidTr="00A91C39">
        <w:trPr>
          <w:trHeight w:val="238"/>
        </w:trPr>
        <w:tc>
          <w:tcPr>
            <w:tcW w:w="3608" w:type="dxa"/>
            <w:vMerge/>
            <w:tcBorders>
              <w:top w:val="single" w:sz="4" w:space="0" w:color="auto"/>
              <w:left w:val="single" w:sz="4" w:space="0" w:color="auto"/>
              <w:bottom w:val="single" w:sz="4" w:space="0" w:color="auto"/>
              <w:right w:val="single" w:sz="4" w:space="0" w:color="auto"/>
            </w:tcBorders>
            <w:vAlign w:val="center"/>
            <w:hideMark/>
          </w:tcPr>
          <w:p w:rsidR="00A12A17" w:rsidRPr="00E87C92" w:rsidRDefault="00A12A17" w:rsidP="00A91C39">
            <w:pPr>
              <w:rPr>
                <w:rFonts w:ascii="Garamond" w:eastAsia="Times New Roman" w:hAnsi="Garamond" w:cs="Calibri"/>
                <w:b/>
                <w:bCs/>
                <w:color w:val="000000"/>
                <w:sz w:val="20"/>
                <w:szCs w:val="20"/>
                <w:lang w:val="en-US" w:bidi="hi-IN"/>
              </w:rPr>
            </w:pPr>
          </w:p>
        </w:tc>
        <w:tc>
          <w:tcPr>
            <w:tcW w:w="3352" w:type="dxa"/>
            <w:gridSpan w:val="3"/>
            <w:tcBorders>
              <w:top w:val="single" w:sz="4" w:space="0" w:color="auto"/>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Currency Futures</w:t>
            </w:r>
          </w:p>
        </w:tc>
        <w:tc>
          <w:tcPr>
            <w:tcW w:w="3352" w:type="dxa"/>
            <w:gridSpan w:val="3"/>
            <w:tcBorders>
              <w:top w:val="single" w:sz="4" w:space="0" w:color="auto"/>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Currency Options</w:t>
            </w:r>
          </w:p>
        </w:tc>
      </w:tr>
      <w:tr w:rsidR="00A12A17" w:rsidRPr="00797A8B" w:rsidTr="00A91C39">
        <w:trPr>
          <w:trHeight w:val="666"/>
        </w:trPr>
        <w:tc>
          <w:tcPr>
            <w:tcW w:w="3608" w:type="dxa"/>
            <w:vMerge/>
            <w:tcBorders>
              <w:top w:val="single" w:sz="4" w:space="0" w:color="auto"/>
              <w:left w:val="single" w:sz="4" w:space="0" w:color="auto"/>
              <w:bottom w:val="single" w:sz="4" w:space="0" w:color="auto"/>
              <w:right w:val="single" w:sz="4" w:space="0" w:color="auto"/>
            </w:tcBorders>
            <w:vAlign w:val="center"/>
            <w:hideMark/>
          </w:tcPr>
          <w:p w:rsidR="00A12A17" w:rsidRPr="00E87C92" w:rsidRDefault="00A12A17" w:rsidP="00A91C39">
            <w:pPr>
              <w:rPr>
                <w:rFonts w:ascii="Garamond" w:eastAsia="Times New Roman" w:hAnsi="Garamond" w:cs="Calibri"/>
                <w:b/>
                <w:bCs/>
                <w:color w:val="000000"/>
                <w:sz w:val="20"/>
                <w:szCs w:val="20"/>
                <w:lang w:val="en-US" w:bidi="hi-IN"/>
              </w:rPr>
            </w:pPr>
          </w:p>
        </w:tc>
        <w:tc>
          <w:tcPr>
            <w:tcW w:w="1117"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Number of</w:t>
            </w:r>
            <w:r w:rsidRPr="00E87C92">
              <w:rPr>
                <w:rFonts w:ascii="Garamond" w:eastAsia="Times New Roman" w:hAnsi="Garamond" w:cs="Calibri"/>
                <w:b/>
                <w:bCs/>
                <w:color w:val="000000"/>
                <w:sz w:val="20"/>
                <w:szCs w:val="20"/>
                <w:lang w:val="en-US" w:bidi="hi-IN"/>
              </w:rPr>
              <w:br/>
              <w:t>Contracts Traded</w:t>
            </w:r>
          </w:p>
        </w:tc>
        <w:tc>
          <w:tcPr>
            <w:tcW w:w="1117"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Notional</w:t>
            </w:r>
            <w:r w:rsidRPr="00E87C92">
              <w:rPr>
                <w:rFonts w:ascii="Garamond" w:eastAsia="Times New Roman" w:hAnsi="Garamond" w:cs="Calibri"/>
                <w:b/>
                <w:bCs/>
                <w:color w:val="000000"/>
                <w:sz w:val="20"/>
                <w:szCs w:val="20"/>
                <w:lang w:val="en-US" w:bidi="hi-IN"/>
              </w:rPr>
              <w:br/>
              <w:t>Turnover</w:t>
            </w:r>
          </w:p>
        </w:tc>
        <w:tc>
          <w:tcPr>
            <w:tcW w:w="1117"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Open</w:t>
            </w:r>
            <w:r w:rsidRPr="00E87C92">
              <w:rPr>
                <w:rFonts w:ascii="Garamond" w:eastAsia="Times New Roman" w:hAnsi="Garamond" w:cs="Calibri"/>
                <w:b/>
                <w:bCs/>
                <w:color w:val="000000"/>
                <w:sz w:val="20"/>
                <w:szCs w:val="20"/>
                <w:lang w:val="en-US" w:bidi="hi-IN"/>
              </w:rPr>
              <w:br/>
              <w:t>Interest</w:t>
            </w:r>
          </w:p>
        </w:tc>
        <w:tc>
          <w:tcPr>
            <w:tcW w:w="1117"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Number of</w:t>
            </w:r>
            <w:r w:rsidRPr="00E87C92">
              <w:rPr>
                <w:rFonts w:ascii="Garamond" w:eastAsia="Times New Roman" w:hAnsi="Garamond" w:cs="Calibri"/>
                <w:b/>
                <w:bCs/>
                <w:color w:val="000000"/>
                <w:sz w:val="20"/>
                <w:szCs w:val="20"/>
                <w:lang w:val="en-US" w:bidi="hi-IN"/>
              </w:rPr>
              <w:br/>
              <w:t>Contracts Traded</w:t>
            </w:r>
          </w:p>
        </w:tc>
        <w:tc>
          <w:tcPr>
            <w:tcW w:w="1117"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Notional</w:t>
            </w:r>
            <w:r w:rsidRPr="00E87C92">
              <w:rPr>
                <w:rFonts w:ascii="Garamond" w:eastAsia="Times New Roman" w:hAnsi="Garamond" w:cs="Calibri"/>
                <w:b/>
                <w:bCs/>
                <w:color w:val="000000"/>
                <w:sz w:val="20"/>
                <w:szCs w:val="20"/>
                <w:lang w:val="en-US" w:bidi="hi-IN"/>
              </w:rPr>
              <w:br/>
              <w:t>Turnover</w:t>
            </w:r>
          </w:p>
        </w:tc>
        <w:tc>
          <w:tcPr>
            <w:tcW w:w="1117"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Open</w:t>
            </w:r>
            <w:r w:rsidRPr="00E87C92">
              <w:rPr>
                <w:rFonts w:ascii="Garamond" w:eastAsia="Times New Roman" w:hAnsi="Garamond" w:cs="Calibri"/>
                <w:b/>
                <w:bCs/>
                <w:color w:val="000000"/>
                <w:sz w:val="20"/>
                <w:szCs w:val="20"/>
                <w:lang w:val="en-US" w:bidi="hi-IN"/>
              </w:rPr>
              <w:br/>
              <w:t>Interest</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B3 - Brasil Bolsa Balcão</w:t>
            </w:r>
          </w:p>
        </w:tc>
        <w:tc>
          <w:tcPr>
            <w:tcW w:w="1117" w:type="dxa"/>
            <w:tcBorders>
              <w:top w:val="single" w:sz="8" w:space="0" w:color="auto"/>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64,655,504</w:t>
            </w:r>
          </w:p>
        </w:tc>
        <w:tc>
          <w:tcPr>
            <w:tcW w:w="1117"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1,110,359</w:t>
            </w:r>
          </w:p>
        </w:tc>
        <w:tc>
          <w:tcPr>
            <w:tcW w:w="1117"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13,091,686</w:t>
            </w:r>
          </w:p>
        </w:tc>
        <w:tc>
          <w:tcPr>
            <w:tcW w:w="1117"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355,193</w:t>
            </w:r>
          </w:p>
        </w:tc>
        <w:tc>
          <w:tcPr>
            <w:tcW w:w="1117"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912</w:t>
            </w:r>
          </w:p>
        </w:tc>
        <w:tc>
          <w:tcPr>
            <w:tcW w:w="1117"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836,150</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Bolsa de Valores de Colombia</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23,062</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1,010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11,896</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Bolsa Mexicana de Valores</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164,167</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1,726</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642,827</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1,400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14</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3,141</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Matba Rofex</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9,070,773</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14,318</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2,631,868</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1,224</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559</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CME Group</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14,640,421</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1,409,270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1,884,128</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713,285</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85,288</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575,228</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Hong Kong Exchanges and Clearing</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133,001</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11,749</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28,121</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309</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31</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2,709</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Korea Exchange</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7,840,849</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73,999</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964,660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National Stock Exchange of India</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Singapore Exchange</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2,287,324</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171,851</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112</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155</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Taiwan Futures Exchange</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16,431</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401</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3,750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662</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Thailand Futures Exchange</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171,832</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62,273</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Borsa Istanbul</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6,242,298</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8,044</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2,453,633</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30,386</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38</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37,004</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Budapest Stock Exchange</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476,019</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542</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522,164</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2,000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2,700</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Moscow Exchange</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78,415,583</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92,434</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4,135,864</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1,704,090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2,040</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1,470,192</w:t>
            </w:r>
          </w:p>
        </w:tc>
      </w:tr>
      <w:tr w:rsidR="00A12A17" w:rsidRPr="00797A8B" w:rsidTr="00A91C39">
        <w:trPr>
          <w:trHeight w:val="23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Tel-Aviv Stock Exchange</w:t>
            </w:r>
          </w:p>
        </w:tc>
        <w:tc>
          <w:tcPr>
            <w:tcW w:w="1117"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1,176,696</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11,096</w:t>
            </w:r>
          </w:p>
        </w:tc>
        <w:tc>
          <w:tcPr>
            <w:tcW w:w="1117"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571,185</w:t>
            </w:r>
          </w:p>
        </w:tc>
      </w:tr>
      <w:tr w:rsidR="00A12A17" w:rsidRPr="00797A8B" w:rsidTr="00A91C39">
        <w:trPr>
          <w:trHeight w:val="248"/>
        </w:trPr>
        <w:tc>
          <w:tcPr>
            <w:tcW w:w="3608"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Dubai Gold and Commodities Exchange</w:t>
            </w:r>
          </w:p>
        </w:tc>
        <w:tc>
          <w:tcPr>
            <w:tcW w:w="1117" w:type="dxa"/>
            <w:tcBorders>
              <w:top w:val="nil"/>
              <w:left w:val="single" w:sz="8" w:space="0" w:color="auto"/>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597,560</w:t>
            </w:r>
          </w:p>
        </w:tc>
        <w:tc>
          <w:tcPr>
            <w:tcW w:w="1117"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3,641</w:t>
            </w:r>
          </w:p>
        </w:tc>
        <w:tc>
          <w:tcPr>
            <w:tcW w:w="1117"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128,851</w:t>
            </w:r>
          </w:p>
        </w:tc>
        <w:tc>
          <w:tcPr>
            <w:tcW w:w="1117"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17"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48"/>
        </w:trPr>
        <w:tc>
          <w:tcPr>
            <w:tcW w:w="3608" w:type="dxa"/>
            <w:tcBorders>
              <w:top w:val="single" w:sz="8" w:space="0" w:color="auto"/>
              <w:left w:val="single" w:sz="8" w:space="0" w:color="auto"/>
              <w:bottom w:val="single" w:sz="8" w:space="0" w:color="auto"/>
              <w:right w:val="nil"/>
            </w:tcBorders>
            <w:shd w:val="clear" w:color="000000" w:fill="D9E1F2"/>
            <w:vAlign w:val="center"/>
            <w:hideMark/>
          </w:tcPr>
          <w:p w:rsidR="00A12A17" w:rsidRPr="00E87C92" w:rsidRDefault="00A12A17" w:rsidP="00A91C39">
            <w:pP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Grand Total</w:t>
            </w:r>
          </w:p>
        </w:tc>
        <w:tc>
          <w:tcPr>
            <w:tcW w:w="1117"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184,734,824</w:t>
            </w:r>
          </w:p>
        </w:tc>
        <w:tc>
          <w:tcPr>
            <w:tcW w:w="1117"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2,727,493</w:t>
            </w:r>
          </w:p>
        </w:tc>
        <w:tc>
          <w:tcPr>
            <w:tcW w:w="1117"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26,733,572</w:t>
            </w:r>
          </w:p>
        </w:tc>
        <w:tc>
          <w:tcPr>
            <w:tcW w:w="1117"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3,984,699</w:t>
            </w:r>
          </w:p>
        </w:tc>
        <w:tc>
          <w:tcPr>
            <w:tcW w:w="1117"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99,422</w:t>
            </w:r>
          </w:p>
        </w:tc>
        <w:tc>
          <w:tcPr>
            <w:tcW w:w="1117" w:type="dxa"/>
            <w:tcBorders>
              <w:top w:val="nil"/>
              <w:left w:val="nil"/>
              <w:bottom w:val="single" w:sz="8" w:space="0" w:color="auto"/>
              <w:right w:val="single" w:sz="8" w:space="0" w:color="auto"/>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3,499,689</w:t>
            </w:r>
          </w:p>
        </w:tc>
      </w:tr>
    </w:tbl>
    <w:p w:rsidR="00A12A17" w:rsidRPr="002061D1" w:rsidRDefault="00A12A17" w:rsidP="00A12A17">
      <w:pPr>
        <w:tabs>
          <w:tab w:val="left" w:pos="3306"/>
          <w:tab w:val="left" w:pos="4629"/>
          <w:tab w:val="left" w:pos="5685"/>
          <w:tab w:val="left" w:pos="6759"/>
          <w:tab w:val="left" w:pos="7923"/>
          <w:tab w:val="left" w:pos="8994"/>
        </w:tabs>
        <w:spacing w:line="23" w:lineRule="atLeast"/>
        <w:rPr>
          <w:rFonts w:ascii="Garamond" w:eastAsia="Times New Roman" w:hAnsi="Garamond"/>
          <w:bCs/>
          <w:sz w:val="18"/>
          <w:szCs w:val="18"/>
          <w:lang w:val="en-US"/>
        </w:rPr>
      </w:pP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r w:rsidRPr="002061D1">
        <w:rPr>
          <w:rFonts w:ascii="Garamond" w:eastAsia="Times New Roman" w:hAnsi="Garamond"/>
          <w:bCs/>
          <w:sz w:val="18"/>
          <w:szCs w:val="18"/>
          <w:lang w:val="en-US"/>
        </w:rPr>
        <w:tab/>
      </w:r>
    </w:p>
    <w:p w:rsidR="00A12A17" w:rsidRPr="002061D1" w:rsidRDefault="00A12A17" w:rsidP="00A12A17">
      <w:pPr>
        <w:spacing w:line="23" w:lineRule="atLeast"/>
        <w:jc w:val="both"/>
        <w:rPr>
          <w:rFonts w:ascii="Garamond" w:hAnsi="Garamond"/>
          <w:bCs/>
          <w:sz w:val="18"/>
          <w:szCs w:val="18"/>
        </w:rPr>
      </w:pPr>
      <w:r w:rsidRPr="002061D1">
        <w:rPr>
          <w:rFonts w:ascii="Garamond" w:hAnsi="Garamond"/>
          <w:bCs/>
          <w:sz w:val="18"/>
          <w:szCs w:val="18"/>
        </w:rPr>
        <w:t>NA: Not Available</w:t>
      </w:r>
    </w:p>
    <w:p w:rsidR="00A12A17" w:rsidRPr="002061D1" w:rsidRDefault="00A12A17" w:rsidP="00A12A17">
      <w:pPr>
        <w:spacing w:line="23" w:lineRule="atLeast"/>
        <w:jc w:val="both"/>
        <w:outlineLvl w:val="0"/>
        <w:rPr>
          <w:rFonts w:ascii="Garamond" w:hAnsi="Garamond"/>
          <w:bCs/>
          <w:sz w:val="18"/>
          <w:szCs w:val="18"/>
        </w:rPr>
      </w:pPr>
      <w:r w:rsidRPr="002061D1">
        <w:rPr>
          <w:rFonts w:ascii="Garamond" w:hAnsi="Garamond"/>
          <w:bCs/>
          <w:sz w:val="18"/>
          <w:szCs w:val="18"/>
        </w:rPr>
        <w:t>Source: World Federation of Exchanges</w:t>
      </w:r>
    </w:p>
    <w:p w:rsidR="00A12A17" w:rsidRPr="002061D1" w:rsidRDefault="00A12A17" w:rsidP="00A12A17">
      <w:pPr>
        <w:spacing w:line="23" w:lineRule="atLeast"/>
        <w:rPr>
          <w:rFonts w:ascii="Garamond" w:hAnsi="Garamond"/>
          <w:bCs/>
          <w:sz w:val="22"/>
          <w:szCs w:val="22"/>
        </w:rPr>
      </w:pPr>
    </w:p>
    <w:p w:rsidR="00A12A17" w:rsidRPr="002061D1" w:rsidRDefault="00A12A17" w:rsidP="00A12A17">
      <w:pPr>
        <w:rPr>
          <w:rFonts w:ascii="Garamond" w:eastAsia="Times New Roman" w:hAnsi="Garamond"/>
          <w:bCs/>
          <w:sz w:val="22"/>
          <w:szCs w:val="22"/>
          <w:lang w:val="en-US"/>
        </w:rPr>
      </w:pPr>
      <w:r>
        <w:rPr>
          <w:rFonts w:ascii="Garamond" w:eastAsia="Times New Roman" w:hAnsi="Garamond"/>
          <w:b/>
          <w:bCs/>
          <w:szCs w:val="22"/>
          <w:lang w:val="en-US"/>
        </w:rPr>
        <w:br w:type="page"/>
      </w:r>
      <w:r w:rsidRPr="002061D1">
        <w:rPr>
          <w:rFonts w:ascii="Garamond" w:eastAsia="Times New Roman" w:hAnsi="Garamond"/>
          <w:b/>
          <w:bCs/>
          <w:szCs w:val="22"/>
          <w:lang w:val="en-US"/>
        </w:rPr>
        <w:t>Table A7: Interest Rate Futures and Options Traded in Major Exchanges</w:t>
      </w:r>
    </w:p>
    <w:p w:rsidR="00A12A17" w:rsidRPr="002061D1" w:rsidRDefault="00A12A17" w:rsidP="00A12A17">
      <w:pPr>
        <w:spacing w:line="23" w:lineRule="atLeast"/>
        <w:ind w:right="-602"/>
        <w:jc w:val="right"/>
        <w:rPr>
          <w:rFonts w:ascii="Garamond" w:eastAsia="Times New Roman" w:hAnsi="Garamond"/>
          <w:bCs/>
          <w:sz w:val="22"/>
          <w:szCs w:val="22"/>
          <w:lang w:val="en-US"/>
        </w:rPr>
      </w:pPr>
      <w:r w:rsidRPr="002061D1">
        <w:rPr>
          <w:rFonts w:ascii="Garamond" w:hAnsi="Garamond"/>
          <w:bCs/>
          <w:sz w:val="22"/>
          <w:szCs w:val="22"/>
        </w:rPr>
        <w:t>Notional Turnover in (USD million)</w:t>
      </w:r>
    </w:p>
    <w:tbl>
      <w:tblPr>
        <w:tblW w:w="10672" w:type="dxa"/>
        <w:tblLook w:val="04A0" w:firstRow="1" w:lastRow="0" w:firstColumn="1" w:lastColumn="0" w:noHBand="0" w:noVBand="1"/>
      </w:tblPr>
      <w:tblGrid>
        <w:gridCol w:w="3734"/>
        <w:gridCol w:w="1156"/>
        <w:gridCol w:w="1156"/>
        <w:gridCol w:w="1157"/>
        <w:gridCol w:w="1156"/>
        <w:gridCol w:w="1156"/>
        <w:gridCol w:w="1157"/>
      </w:tblGrid>
      <w:tr w:rsidR="00A12A17" w:rsidRPr="00797A8B" w:rsidTr="00A91C39">
        <w:trPr>
          <w:trHeight w:val="234"/>
        </w:trPr>
        <w:tc>
          <w:tcPr>
            <w:tcW w:w="3734"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Exchange</w:t>
            </w:r>
          </w:p>
        </w:tc>
        <w:tc>
          <w:tcPr>
            <w:tcW w:w="6938" w:type="dxa"/>
            <w:gridSpan w:val="6"/>
            <w:tcBorders>
              <w:top w:val="single" w:sz="4" w:space="0" w:color="auto"/>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Feb-21</w:t>
            </w:r>
          </w:p>
        </w:tc>
      </w:tr>
      <w:tr w:rsidR="00A12A17" w:rsidRPr="00797A8B" w:rsidTr="00A91C39">
        <w:trPr>
          <w:trHeight w:val="234"/>
        </w:trPr>
        <w:tc>
          <w:tcPr>
            <w:tcW w:w="3734" w:type="dxa"/>
            <w:vMerge/>
            <w:tcBorders>
              <w:top w:val="single" w:sz="4" w:space="0" w:color="auto"/>
              <w:left w:val="single" w:sz="4" w:space="0" w:color="auto"/>
              <w:bottom w:val="single" w:sz="4" w:space="0" w:color="auto"/>
              <w:right w:val="single" w:sz="4" w:space="0" w:color="auto"/>
            </w:tcBorders>
            <w:vAlign w:val="center"/>
            <w:hideMark/>
          </w:tcPr>
          <w:p w:rsidR="00A12A17" w:rsidRPr="00E87C92" w:rsidRDefault="00A12A17" w:rsidP="00A91C39">
            <w:pPr>
              <w:rPr>
                <w:rFonts w:ascii="Garamond" w:eastAsia="Times New Roman" w:hAnsi="Garamond" w:cs="Calibri"/>
                <w:b/>
                <w:bCs/>
                <w:color w:val="000000"/>
                <w:sz w:val="20"/>
                <w:szCs w:val="20"/>
                <w:lang w:val="en-US" w:bidi="hi-IN"/>
              </w:rPr>
            </w:pPr>
          </w:p>
        </w:tc>
        <w:tc>
          <w:tcPr>
            <w:tcW w:w="3469" w:type="dxa"/>
            <w:gridSpan w:val="3"/>
            <w:tcBorders>
              <w:top w:val="single" w:sz="4" w:space="0" w:color="auto"/>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Interest Rate Futures</w:t>
            </w:r>
          </w:p>
        </w:tc>
        <w:tc>
          <w:tcPr>
            <w:tcW w:w="3469" w:type="dxa"/>
            <w:gridSpan w:val="3"/>
            <w:tcBorders>
              <w:top w:val="single" w:sz="4" w:space="0" w:color="auto"/>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Interest Rate Options</w:t>
            </w:r>
          </w:p>
        </w:tc>
      </w:tr>
      <w:tr w:rsidR="00A12A17" w:rsidRPr="00797A8B" w:rsidTr="00A91C39">
        <w:trPr>
          <w:trHeight w:val="654"/>
        </w:trPr>
        <w:tc>
          <w:tcPr>
            <w:tcW w:w="3734" w:type="dxa"/>
            <w:vMerge/>
            <w:tcBorders>
              <w:top w:val="single" w:sz="4" w:space="0" w:color="auto"/>
              <w:left w:val="single" w:sz="4" w:space="0" w:color="auto"/>
              <w:bottom w:val="single" w:sz="4" w:space="0" w:color="auto"/>
              <w:right w:val="single" w:sz="4" w:space="0" w:color="auto"/>
            </w:tcBorders>
            <w:vAlign w:val="center"/>
            <w:hideMark/>
          </w:tcPr>
          <w:p w:rsidR="00A12A17" w:rsidRPr="00E87C92" w:rsidRDefault="00A12A17" w:rsidP="00A91C39">
            <w:pPr>
              <w:rPr>
                <w:rFonts w:ascii="Garamond" w:eastAsia="Times New Roman" w:hAnsi="Garamond" w:cs="Calibri"/>
                <w:b/>
                <w:bCs/>
                <w:color w:val="000000"/>
                <w:sz w:val="20"/>
                <w:szCs w:val="20"/>
                <w:lang w:val="en-US" w:bidi="hi-IN"/>
              </w:rPr>
            </w:pPr>
          </w:p>
        </w:tc>
        <w:tc>
          <w:tcPr>
            <w:tcW w:w="1156"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Number of</w:t>
            </w:r>
            <w:r w:rsidRPr="00E87C92">
              <w:rPr>
                <w:rFonts w:ascii="Garamond" w:eastAsia="Times New Roman" w:hAnsi="Garamond" w:cs="Calibri"/>
                <w:b/>
                <w:bCs/>
                <w:color w:val="000000"/>
                <w:sz w:val="20"/>
                <w:szCs w:val="20"/>
                <w:lang w:val="en-US" w:bidi="hi-IN"/>
              </w:rPr>
              <w:br/>
              <w:t>Contracts Traded</w:t>
            </w:r>
          </w:p>
        </w:tc>
        <w:tc>
          <w:tcPr>
            <w:tcW w:w="1156"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Notional</w:t>
            </w:r>
            <w:r w:rsidRPr="00E87C92">
              <w:rPr>
                <w:rFonts w:ascii="Garamond" w:eastAsia="Times New Roman" w:hAnsi="Garamond" w:cs="Calibri"/>
                <w:b/>
                <w:bCs/>
                <w:color w:val="000000"/>
                <w:sz w:val="20"/>
                <w:szCs w:val="20"/>
                <w:lang w:val="en-US" w:bidi="hi-IN"/>
              </w:rPr>
              <w:br/>
              <w:t>Turnover</w:t>
            </w:r>
          </w:p>
        </w:tc>
        <w:tc>
          <w:tcPr>
            <w:tcW w:w="1156"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Open</w:t>
            </w:r>
            <w:r w:rsidRPr="00E87C92">
              <w:rPr>
                <w:rFonts w:ascii="Garamond" w:eastAsia="Times New Roman" w:hAnsi="Garamond" w:cs="Calibri"/>
                <w:b/>
                <w:bCs/>
                <w:color w:val="000000"/>
                <w:sz w:val="20"/>
                <w:szCs w:val="20"/>
                <w:lang w:val="en-US" w:bidi="hi-IN"/>
              </w:rPr>
              <w:br/>
              <w:t>Interest</w:t>
            </w:r>
          </w:p>
        </w:tc>
        <w:tc>
          <w:tcPr>
            <w:tcW w:w="1156"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Number of</w:t>
            </w:r>
            <w:r w:rsidRPr="00E87C92">
              <w:rPr>
                <w:rFonts w:ascii="Garamond" w:eastAsia="Times New Roman" w:hAnsi="Garamond" w:cs="Calibri"/>
                <w:b/>
                <w:bCs/>
                <w:color w:val="000000"/>
                <w:sz w:val="20"/>
                <w:szCs w:val="20"/>
                <w:lang w:val="en-US" w:bidi="hi-IN"/>
              </w:rPr>
              <w:br/>
              <w:t>Contracts Traded</w:t>
            </w:r>
          </w:p>
        </w:tc>
        <w:tc>
          <w:tcPr>
            <w:tcW w:w="1156"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Notional</w:t>
            </w:r>
            <w:r w:rsidRPr="00E87C92">
              <w:rPr>
                <w:rFonts w:ascii="Garamond" w:eastAsia="Times New Roman" w:hAnsi="Garamond" w:cs="Calibri"/>
                <w:b/>
                <w:bCs/>
                <w:color w:val="000000"/>
                <w:sz w:val="20"/>
                <w:szCs w:val="20"/>
                <w:lang w:val="en-US" w:bidi="hi-IN"/>
              </w:rPr>
              <w:br/>
              <w:t>Turnover</w:t>
            </w:r>
          </w:p>
        </w:tc>
        <w:tc>
          <w:tcPr>
            <w:tcW w:w="1156" w:type="dxa"/>
            <w:tcBorders>
              <w:top w:val="nil"/>
              <w:left w:val="nil"/>
              <w:bottom w:val="single" w:sz="4" w:space="0" w:color="auto"/>
              <w:right w:val="single" w:sz="4" w:space="0" w:color="auto"/>
            </w:tcBorders>
            <w:shd w:val="clear" w:color="000000" w:fill="B4C6E7"/>
            <w:vAlign w:val="center"/>
            <w:hideMark/>
          </w:tcPr>
          <w:p w:rsidR="00A12A17" w:rsidRPr="00E87C92" w:rsidRDefault="00A12A17" w:rsidP="00A91C39">
            <w:pPr>
              <w:jc w:val="cente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Open</w:t>
            </w:r>
            <w:r w:rsidRPr="00E87C92">
              <w:rPr>
                <w:rFonts w:ascii="Garamond" w:eastAsia="Times New Roman" w:hAnsi="Garamond" w:cs="Calibri"/>
                <w:b/>
                <w:bCs/>
                <w:color w:val="000000"/>
                <w:sz w:val="20"/>
                <w:szCs w:val="20"/>
                <w:lang w:val="en-US" w:bidi="hi-IN"/>
              </w:rPr>
              <w:br/>
              <w:t>Interest</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B3 - Brasil Bolsa Balcão</w:t>
            </w:r>
          </w:p>
        </w:tc>
        <w:tc>
          <w:tcPr>
            <w:tcW w:w="1156" w:type="dxa"/>
            <w:tcBorders>
              <w:top w:val="single" w:sz="8" w:space="0" w:color="auto"/>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44,364,506</w:t>
            </w:r>
          </w:p>
        </w:tc>
        <w:tc>
          <w:tcPr>
            <w:tcW w:w="1156"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1,274,466</w:t>
            </w:r>
          </w:p>
        </w:tc>
        <w:tc>
          <w:tcPr>
            <w:tcW w:w="1156"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31,895,174</w:t>
            </w:r>
          </w:p>
        </w:tc>
        <w:tc>
          <w:tcPr>
            <w:tcW w:w="1156"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9,321,322</w:t>
            </w:r>
          </w:p>
        </w:tc>
        <w:tc>
          <w:tcPr>
            <w:tcW w:w="1156"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109</w:t>
            </w:r>
          </w:p>
        </w:tc>
        <w:tc>
          <w:tcPr>
            <w:tcW w:w="1156" w:type="dxa"/>
            <w:tcBorders>
              <w:top w:val="single" w:sz="8" w:space="0" w:color="auto"/>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34,007,865</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Bolsa de Valores de Colombia</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11,735</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964</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12,751</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Bolsa Mexicana de Valores</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602</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4,600</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CME Group</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204,206,273</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88,608,852</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26,891,734</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47,476,935</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26,885,669</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39,642,170</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ASX Australian Securities Exchange</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11,968,395</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1,933,775</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3,775,806</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4,564</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309</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2,554</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Japan Exchange Group</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741,459</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110,394</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21,364</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1,273</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Korea Exchange</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3,186,491</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317,816</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532,837</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National Stock Exchange of India</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Singapore Exchange</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22,219</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13,696</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China Financial Futures Exchange</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1,648,233</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248,434</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185,055</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Deutsche Boerse AG</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49,865,752</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8,512,291</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5,672,581</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5,626,650</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1,005,296</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1,743,142</w:t>
            </w:r>
          </w:p>
        </w:tc>
      </w:tr>
      <w:tr w:rsidR="00A12A17" w:rsidRPr="00797A8B" w:rsidTr="00A91C39">
        <w:trPr>
          <w:trHeight w:val="23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Moscow Exchange</w:t>
            </w:r>
          </w:p>
        </w:tc>
        <w:tc>
          <w:tcPr>
            <w:tcW w:w="1156" w:type="dxa"/>
            <w:tcBorders>
              <w:top w:val="nil"/>
              <w:left w:val="single" w:sz="8" w:space="0" w:color="auto"/>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12,868</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2</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39,556</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c>
          <w:tcPr>
            <w:tcW w:w="1156" w:type="dxa"/>
            <w:tcBorders>
              <w:top w:val="nil"/>
              <w:left w:val="nil"/>
              <w:bottom w:val="nil"/>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w:t>
            </w:r>
          </w:p>
        </w:tc>
      </w:tr>
      <w:tr w:rsidR="00A12A17" w:rsidRPr="00797A8B" w:rsidTr="00A91C39">
        <w:trPr>
          <w:trHeight w:val="244"/>
        </w:trPr>
        <w:tc>
          <w:tcPr>
            <w:tcW w:w="3734" w:type="dxa"/>
            <w:tcBorders>
              <w:top w:val="nil"/>
              <w:left w:val="single" w:sz="4" w:space="0" w:color="auto"/>
              <w:bottom w:val="nil"/>
              <w:right w:val="nil"/>
            </w:tcBorders>
            <w:shd w:val="clear" w:color="000000" w:fill="B4C6E7"/>
            <w:vAlign w:val="center"/>
            <w:hideMark/>
          </w:tcPr>
          <w:p w:rsidR="00A12A17" w:rsidRPr="00E87C92" w:rsidRDefault="00A12A17" w:rsidP="00A91C39">
            <w:pPr>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Nasdaq Nordic and Baltics</w:t>
            </w:r>
          </w:p>
        </w:tc>
        <w:tc>
          <w:tcPr>
            <w:tcW w:w="1156" w:type="dxa"/>
            <w:tcBorders>
              <w:top w:val="nil"/>
              <w:left w:val="single" w:sz="8" w:space="0" w:color="auto"/>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1,169,634</w:t>
            </w:r>
          </w:p>
        </w:tc>
        <w:tc>
          <w:tcPr>
            <w:tcW w:w="1156"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126,338</w:t>
            </w:r>
          </w:p>
        </w:tc>
        <w:tc>
          <w:tcPr>
            <w:tcW w:w="1156"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0</w:t>
            </w:r>
          </w:p>
        </w:tc>
        <w:tc>
          <w:tcPr>
            <w:tcW w:w="1156"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474,714</w:t>
            </w:r>
          </w:p>
        </w:tc>
        <w:tc>
          <w:tcPr>
            <w:tcW w:w="1156"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51,276</w:t>
            </w:r>
          </w:p>
        </w:tc>
        <w:tc>
          <w:tcPr>
            <w:tcW w:w="1156" w:type="dxa"/>
            <w:tcBorders>
              <w:top w:val="nil"/>
              <w:left w:val="nil"/>
              <w:bottom w:val="single" w:sz="8" w:space="0" w:color="auto"/>
              <w:right w:val="single" w:sz="8" w:space="0" w:color="auto"/>
            </w:tcBorders>
            <w:shd w:val="clear" w:color="auto" w:fill="auto"/>
            <w:vAlign w:val="center"/>
            <w:hideMark/>
          </w:tcPr>
          <w:p w:rsidR="00A12A17" w:rsidRPr="00E87C92" w:rsidRDefault="00A12A17" w:rsidP="00A91C39">
            <w:pPr>
              <w:jc w:val="right"/>
              <w:rPr>
                <w:rFonts w:ascii="Garamond" w:eastAsia="Times New Roman" w:hAnsi="Garamond" w:cs="Calibri"/>
                <w:color w:val="000000"/>
                <w:sz w:val="20"/>
                <w:szCs w:val="20"/>
                <w:lang w:val="en-US" w:bidi="hi-IN"/>
              </w:rPr>
            </w:pPr>
            <w:r w:rsidRPr="00E87C92">
              <w:rPr>
                <w:rFonts w:ascii="Garamond" w:eastAsia="Times New Roman" w:hAnsi="Garamond" w:cs="Calibri"/>
                <w:color w:val="000000"/>
                <w:sz w:val="20"/>
                <w:szCs w:val="20"/>
                <w:lang w:val="en-US" w:bidi="hi-IN"/>
              </w:rPr>
              <w:t xml:space="preserve"> 0</w:t>
            </w:r>
          </w:p>
        </w:tc>
      </w:tr>
      <w:tr w:rsidR="00A12A17" w:rsidRPr="00797A8B" w:rsidTr="00A91C39">
        <w:trPr>
          <w:trHeight w:val="244"/>
        </w:trPr>
        <w:tc>
          <w:tcPr>
            <w:tcW w:w="3734" w:type="dxa"/>
            <w:tcBorders>
              <w:top w:val="single" w:sz="8" w:space="0" w:color="auto"/>
              <w:left w:val="single" w:sz="8" w:space="0" w:color="auto"/>
              <w:bottom w:val="single" w:sz="8" w:space="0" w:color="auto"/>
              <w:right w:val="nil"/>
            </w:tcBorders>
            <w:shd w:val="clear" w:color="000000" w:fill="D9E1F2"/>
            <w:vAlign w:val="center"/>
            <w:hideMark/>
          </w:tcPr>
          <w:p w:rsidR="00A12A17" w:rsidRPr="00E87C92" w:rsidRDefault="00A12A17" w:rsidP="00A91C39">
            <w:pPr>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Grand Total</w:t>
            </w:r>
          </w:p>
        </w:tc>
        <w:tc>
          <w:tcPr>
            <w:tcW w:w="1156"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317,198,167</w:t>
            </w:r>
          </w:p>
        </w:tc>
        <w:tc>
          <w:tcPr>
            <w:tcW w:w="1156"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101,022,943</w:t>
            </w:r>
          </w:p>
        </w:tc>
        <w:tc>
          <w:tcPr>
            <w:tcW w:w="1156"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69,134,184</w:t>
            </w:r>
          </w:p>
        </w:tc>
        <w:tc>
          <w:tcPr>
            <w:tcW w:w="1156"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62,925,549</w:t>
            </w:r>
          </w:p>
        </w:tc>
        <w:tc>
          <w:tcPr>
            <w:tcW w:w="1156" w:type="dxa"/>
            <w:tcBorders>
              <w:top w:val="nil"/>
              <w:left w:val="nil"/>
              <w:bottom w:val="single" w:sz="8" w:space="0" w:color="auto"/>
              <w:right w:val="nil"/>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27,942,659</w:t>
            </w:r>
          </w:p>
        </w:tc>
        <w:tc>
          <w:tcPr>
            <w:tcW w:w="1156" w:type="dxa"/>
            <w:tcBorders>
              <w:top w:val="nil"/>
              <w:left w:val="nil"/>
              <w:bottom w:val="single" w:sz="8" w:space="0" w:color="auto"/>
              <w:right w:val="single" w:sz="8" w:space="0" w:color="auto"/>
            </w:tcBorders>
            <w:shd w:val="clear" w:color="000000" w:fill="D9E1F2"/>
            <w:vAlign w:val="bottom"/>
            <w:hideMark/>
          </w:tcPr>
          <w:p w:rsidR="00A12A17" w:rsidRPr="00E87C92" w:rsidRDefault="00A12A17" w:rsidP="00A91C39">
            <w:pPr>
              <w:jc w:val="right"/>
              <w:rPr>
                <w:rFonts w:ascii="Garamond" w:eastAsia="Times New Roman" w:hAnsi="Garamond" w:cs="Calibri"/>
                <w:b/>
                <w:bCs/>
                <w:color w:val="000000"/>
                <w:sz w:val="20"/>
                <w:szCs w:val="20"/>
                <w:lang w:val="en-US" w:bidi="hi-IN"/>
              </w:rPr>
            </w:pPr>
            <w:r w:rsidRPr="00E87C92">
              <w:rPr>
                <w:rFonts w:ascii="Garamond" w:eastAsia="Times New Roman" w:hAnsi="Garamond" w:cs="Calibri"/>
                <w:b/>
                <w:bCs/>
                <w:color w:val="000000"/>
                <w:sz w:val="20"/>
                <w:szCs w:val="20"/>
                <w:lang w:val="en-US" w:bidi="hi-IN"/>
              </w:rPr>
              <w:t xml:space="preserve"> 75,397,004</w:t>
            </w:r>
          </w:p>
        </w:tc>
      </w:tr>
    </w:tbl>
    <w:p w:rsidR="00A12A17" w:rsidRPr="002061D1" w:rsidRDefault="00A12A17" w:rsidP="00A12A17">
      <w:pPr>
        <w:spacing w:line="23" w:lineRule="atLeast"/>
        <w:rPr>
          <w:rFonts w:ascii="Garamond" w:eastAsia="Times New Roman" w:hAnsi="Garamond"/>
          <w:bCs/>
          <w:sz w:val="18"/>
          <w:szCs w:val="18"/>
          <w:lang w:val="en-US"/>
        </w:rPr>
      </w:pPr>
      <w:r w:rsidRPr="002061D1">
        <w:rPr>
          <w:rFonts w:ascii="Garamond" w:eastAsia="Times New Roman" w:hAnsi="Garamond"/>
          <w:bCs/>
          <w:sz w:val="18"/>
          <w:szCs w:val="18"/>
          <w:lang w:val="en-US"/>
        </w:rPr>
        <w:tab/>
      </w:r>
    </w:p>
    <w:p w:rsidR="00A12A17" w:rsidRPr="002061D1" w:rsidRDefault="00A12A17" w:rsidP="00A12A17">
      <w:pPr>
        <w:spacing w:line="23" w:lineRule="atLeast"/>
        <w:jc w:val="both"/>
        <w:rPr>
          <w:rFonts w:ascii="Garamond" w:hAnsi="Garamond"/>
          <w:bCs/>
          <w:sz w:val="18"/>
          <w:szCs w:val="18"/>
        </w:rPr>
      </w:pPr>
      <w:r w:rsidRPr="002061D1">
        <w:rPr>
          <w:rFonts w:ascii="Garamond" w:hAnsi="Garamond"/>
          <w:bCs/>
          <w:sz w:val="18"/>
          <w:szCs w:val="18"/>
        </w:rPr>
        <w:t>NA: Not Available</w:t>
      </w:r>
    </w:p>
    <w:p w:rsidR="00A12A17" w:rsidRPr="002061D1" w:rsidRDefault="00A12A17" w:rsidP="00A12A17">
      <w:pPr>
        <w:spacing w:line="23" w:lineRule="atLeast"/>
        <w:jc w:val="both"/>
        <w:outlineLvl w:val="0"/>
        <w:rPr>
          <w:rFonts w:ascii="Garamond" w:hAnsi="Garamond"/>
          <w:bCs/>
          <w:sz w:val="18"/>
          <w:szCs w:val="18"/>
        </w:rPr>
      </w:pPr>
      <w:r w:rsidRPr="002061D1">
        <w:rPr>
          <w:rFonts w:ascii="Garamond" w:hAnsi="Garamond"/>
          <w:bCs/>
          <w:sz w:val="18"/>
          <w:szCs w:val="18"/>
        </w:rPr>
        <w:t>Source: World Federation of Exchanges</w:t>
      </w:r>
    </w:p>
    <w:p w:rsidR="00A12A17" w:rsidRPr="002061D1" w:rsidRDefault="00A12A17" w:rsidP="00A12A17">
      <w:pPr>
        <w:rPr>
          <w:rFonts w:ascii="Garamond" w:eastAsia="Times New Roman" w:hAnsi="Garamond"/>
          <w:bCs/>
          <w:sz w:val="22"/>
          <w:szCs w:val="22"/>
          <w:lang w:val="en-US"/>
        </w:rPr>
      </w:pPr>
    </w:p>
    <w:p w:rsidR="00A12A17" w:rsidRPr="001D2656" w:rsidRDefault="00A12A17" w:rsidP="00A12A17">
      <w:pPr>
        <w:rPr>
          <w:rFonts w:ascii="Garamond" w:eastAsia="Times New Roman" w:hAnsi="Garamond"/>
          <w:bCs/>
          <w:sz w:val="22"/>
          <w:szCs w:val="22"/>
          <w:lang w:val="en-US"/>
        </w:rPr>
      </w:pPr>
      <w:r w:rsidRPr="001D2656">
        <w:rPr>
          <w:rFonts w:ascii="Garamond" w:eastAsia="Times New Roman" w:hAnsi="Garamond"/>
          <w:bCs/>
          <w:sz w:val="22"/>
          <w:szCs w:val="22"/>
          <w:lang w:val="en-US"/>
        </w:rPr>
        <w:br w:type="page"/>
      </w:r>
    </w:p>
    <w:p w:rsidR="00A12A17" w:rsidRPr="001D2656" w:rsidRDefault="00A12A17" w:rsidP="00A12A17">
      <w:pPr>
        <w:spacing w:line="23" w:lineRule="atLeast"/>
        <w:rPr>
          <w:rFonts w:ascii="Garamond" w:hAnsi="Garamond"/>
          <w:b/>
          <w:bCs/>
          <w:szCs w:val="22"/>
        </w:rPr>
      </w:pPr>
      <w:r w:rsidRPr="001D2656">
        <w:rPr>
          <w:rFonts w:ascii="Garamond" w:eastAsia="Times New Roman" w:hAnsi="Garamond"/>
          <w:b/>
          <w:bCs/>
          <w:szCs w:val="22"/>
          <w:lang w:val="en-US"/>
        </w:rPr>
        <w:t>Table A8: Commodity Futures and Options Traded in Major Exchanges</w:t>
      </w:r>
    </w:p>
    <w:p w:rsidR="00A12A17" w:rsidRPr="001D2656" w:rsidRDefault="00A12A17" w:rsidP="00A12A17">
      <w:pPr>
        <w:spacing w:line="23" w:lineRule="atLeast"/>
        <w:ind w:right="348"/>
        <w:jc w:val="right"/>
        <w:rPr>
          <w:rFonts w:ascii="Garamond" w:hAnsi="Garamond"/>
          <w:bCs/>
          <w:sz w:val="22"/>
          <w:szCs w:val="22"/>
        </w:rPr>
      </w:pPr>
      <w:r w:rsidRPr="001D2656">
        <w:rPr>
          <w:rFonts w:ascii="Garamond" w:hAnsi="Garamond"/>
          <w:bCs/>
          <w:sz w:val="22"/>
          <w:szCs w:val="22"/>
        </w:rPr>
        <w:t>Notional Turnover in (USD million)</w:t>
      </w:r>
    </w:p>
    <w:tbl>
      <w:tblPr>
        <w:tblW w:w="10612" w:type="dxa"/>
        <w:tblLook w:val="04A0" w:firstRow="1" w:lastRow="0" w:firstColumn="1" w:lastColumn="0" w:noHBand="0" w:noVBand="1"/>
      </w:tblPr>
      <w:tblGrid>
        <w:gridCol w:w="3713"/>
        <w:gridCol w:w="1149"/>
        <w:gridCol w:w="1149"/>
        <w:gridCol w:w="1151"/>
        <w:gridCol w:w="1149"/>
        <w:gridCol w:w="1149"/>
        <w:gridCol w:w="1152"/>
      </w:tblGrid>
      <w:tr w:rsidR="00A12A17" w:rsidRPr="00797A8B" w:rsidTr="00A91C39">
        <w:trPr>
          <w:trHeight w:val="265"/>
        </w:trPr>
        <w:tc>
          <w:tcPr>
            <w:tcW w:w="3713" w:type="dxa"/>
            <w:vMerge w:val="restart"/>
            <w:tcBorders>
              <w:top w:val="single" w:sz="4" w:space="0" w:color="auto"/>
              <w:left w:val="single" w:sz="4" w:space="0" w:color="auto"/>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Exchange</w:t>
            </w:r>
          </w:p>
        </w:tc>
        <w:tc>
          <w:tcPr>
            <w:tcW w:w="6899" w:type="dxa"/>
            <w:gridSpan w:val="6"/>
            <w:tcBorders>
              <w:top w:val="single" w:sz="4" w:space="0" w:color="auto"/>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Feb-21</w:t>
            </w:r>
          </w:p>
        </w:tc>
      </w:tr>
      <w:tr w:rsidR="00A12A17" w:rsidRPr="00797A8B" w:rsidTr="00A91C39">
        <w:trPr>
          <w:trHeight w:val="265"/>
        </w:trPr>
        <w:tc>
          <w:tcPr>
            <w:tcW w:w="3713" w:type="dxa"/>
            <w:vMerge/>
            <w:tcBorders>
              <w:top w:val="single" w:sz="4" w:space="0" w:color="auto"/>
              <w:left w:val="single" w:sz="4" w:space="0" w:color="auto"/>
              <w:bottom w:val="single" w:sz="4" w:space="0" w:color="auto"/>
              <w:right w:val="single" w:sz="4" w:space="0" w:color="auto"/>
            </w:tcBorders>
            <w:vAlign w:val="center"/>
            <w:hideMark/>
          </w:tcPr>
          <w:p w:rsidR="00A12A17" w:rsidRPr="004A099C" w:rsidRDefault="00A12A17" w:rsidP="00A91C39">
            <w:pPr>
              <w:rPr>
                <w:rFonts w:ascii="Garamond" w:eastAsia="Times New Roman" w:hAnsi="Garamond" w:cs="Calibri"/>
                <w:b/>
                <w:bCs/>
                <w:color w:val="000000"/>
                <w:sz w:val="20"/>
                <w:szCs w:val="20"/>
                <w:lang w:val="en-US" w:bidi="hi-IN"/>
              </w:rPr>
            </w:pPr>
          </w:p>
        </w:tc>
        <w:tc>
          <w:tcPr>
            <w:tcW w:w="3449" w:type="dxa"/>
            <w:gridSpan w:val="3"/>
            <w:tcBorders>
              <w:top w:val="single" w:sz="4" w:space="0" w:color="auto"/>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Commodities Futures</w:t>
            </w:r>
          </w:p>
        </w:tc>
        <w:tc>
          <w:tcPr>
            <w:tcW w:w="3449" w:type="dxa"/>
            <w:gridSpan w:val="3"/>
            <w:tcBorders>
              <w:top w:val="single" w:sz="4" w:space="0" w:color="auto"/>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Commodities Options</w:t>
            </w:r>
          </w:p>
        </w:tc>
      </w:tr>
      <w:tr w:rsidR="00A12A17" w:rsidRPr="00797A8B" w:rsidTr="00A91C39">
        <w:trPr>
          <w:trHeight w:val="742"/>
        </w:trPr>
        <w:tc>
          <w:tcPr>
            <w:tcW w:w="3713" w:type="dxa"/>
            <w:vMerge/>
            <w:tcBorders>
              <w:top w:val="single" w:sz="4" w:space="0" w:color="auto"/>
              <w:left w:val="single" w:sz="4" w:space="0" w:color="auto"/>
              <w:bottom w:val="single" w:sz="4" w:space="0" w:color="auto"/>
              <w:right w:val="single" w:sz="4" w:space="0" w:color="auto"/>
            </w:tcBorders>
            <w:vAlign w:val="center"/>
            <w:hideMark/>
          </w:tcPr>
          <w:p w:rsidR="00A12A17" w:rsidRPr="004A099C" w:rsidRDefault="00A12A17" w:rsidP="00A91C39">
            <w:pPr>
              <w:rPr>
                <w:rFonts w:ascii="Garamond" w:eastAsia="Times New Roman" w:hAnsi="Garamond" w:cs="Calibri"/>
                <w:b/>
                <w:bCs/>
                <w:color w:val="000000"/>
                <w:sz w:val="20"/>
                <w:szCs w:val="20"/>
                <w:lang w:val="en-US" w:bidi="hi-IN"/>
              </w:rPr>
            </w:pPr>
          </w:p>
        </w:tc>
        <w:tc>
          <w:tcPr>
            <w:tcW w:w="1149" w:type="dxa"/>
            <w:tcBorders>
              <w:top w:val="nil"/>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Number of</w:t>
            </w:r>
            <w:r w:rsidRPr="004A099C">
              <w:rPr>
                <w:rFonts w:ascii="Garamond" w:eastAsia="Times New Roman" w:hAnsi="Garamond" w:cs="Calibri"/>
                <w:b/>
                <w:bCs/>
                <w:color w:val="000000"/>
                <w:sz w:val="20"/>
                <w:szCs w:val="20"/>
                <w:lang w:val="en-US" w:bidi="hi-IN"/>
              </w:rPr>
              <w:br/>
              <w:t>Contracts Traded</w:t>
            </w:r>
          </w:p>
        </w:tc>
        <w:tc>
          <w:tcPr>
            <w:tcW w:w="1149" w:type="dxa"/>
            <w:tcBorders>
              <w:top w:val="nil"/>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Notional</w:t>
            </w:r>
            <w:r w:rsidRPr="004A099C">
              <w:rPr>
                <w:rFonts w:ascii="Garamond" w:eastAsia="Times New Roman" w:hAnsi="Garamond" w:cs="Calibri"/>
                <w:b/>
                <w:bCs/>
                <w:color w:val="000000"/>
                <w:sz w:val="20"/>
                <w:szCs w:val="20"/>
                <w:lang w:val="en-US" w:bidi="hi-IN"/>
              </w:rPr>
              <w:br/>
              <w:t>Turnover</w:t>
            </w:r>
          </w:p>
        </w:tc>
        <w:tc>
          <w:tcPr>
            <w:tcW w:w="1149" w:type="dxa"/>
            <w:tcBorders>
              <w:top w:val="nil"/>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Open</w:t>
            </w:r>
            <w:r w:rsidRPr="004A099C">
              <w:rPr>
                <w:rFonts w:ascii="Garamond" w:eastAsia="Times New Roman" w:hAnsi="Garamond" w:cs="Calibri"/>
                <w:b/>
                <w:bCs/>
                <w:color w:val="000000"/>
                <w:sz w:val="20"/>
                <w:szCs w:val="20"/>
                <w:lang w:val="en-US" w:bidi="hi-IN"/>
              </w:rPr>
              <w:br/>
              <w:t>Interest</w:t>
            </w:r>
          </w:p>
        </w:tc>
        <w:tc>
          <w:tcPr>
            <w:tcW w:w="1149" w:type="dxa"/>
            <w:tcBorders>
              <w:top w:val="nil"/>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Number of</w:t>
            </w:r>
            <w:r w:rsidRPr="004A099C">
              <w:rPr>
                <w:rFonts w:ascii="Garamond" w:eastAsia="Times New Roman" w:hAnsi="Garamond" w:cs="Calibri"/>
                <w:b/>
                <w:bCs/>
                <w:color w:val="000000"/>
                <w:sz w:val="20"/>
                <w:szCs w:val="20"/>
                <w:lang w:val="en-US" w:bidi="hi-IN"/>
              </w:rPr>
              <w:br/>
              <w:t>Contracts Traded</w:t>
            </w:r>
          </w:p>
        </w:tc>
        <w:tc>
          <w:tcPr>
            <w:tcW w:w="1149" w:type="dxa"/>
            <w:tcBorders>
              <w:top w:val="nil"/>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Notional</w:t>
            </w:r>
            <w:r w:rsidRPr="004A099C">
              <w:rPr>
                <w:rFonts w:ascii="Garamond" w:eastAsia="Times New Roman" w:hAnsi="Garamond" w:cs="Calibri"/>
                <w:b/>
                <w:bCs/>
                <w:color w:val="000000"/>
                <w:sz w:val="20"/>
                <w:szCs w:val="20"/>
                <w:lang w:val="en-US" w:bidi="hi-IN"/>
              </w:rPr>
              <w:br/>
              <w:t>Turnover</w:t>
            </w:r>
          </w:p>
        </w:tc>
        <w:tc>
          <w:tcPr>
            <w:tcW w:w="1149" w:type="dxa"/>
            <w:tcBorders>
              <w:top w:val="nil"/>
              <w:left w:val="nil"/>
              <w:bottom w:val="single" w:sz="4" w:space="0" w:color="auto"/>
              <w:right w:val="single" w:sz="4" w:space="0" w:color="auto"/>
            </w:tcBorders>
            <w:shd w:val="clear" w:color="000000" w:fill="B4C6E7"/>
            <w:vAlign w:val="center"/>
            <w:hideMark/>
          </w:tcPr>
          <w:p w:rsidR="00A12A17" w:rsidRPr="004A099C" w:rsidRDefault="00A12A17" w:rsidP="00A91C39">
            <w:pPr>
              <w:jc w:val="cente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Open</w:t>
            </w:r>
            <w:r w:rsidRPr="004A099C">
              <w:rPr>
                <w:rFonts w:ascii="Garamond" w:eastAsia="Times New Roman" w:hAnsi="Garamond" w:cs="Calibri"/>
                <w:b/>
                <w:bCs/>
                <w:color w:val="000000"/>
                <w:sz w:val="20"/>
                <w:szCs w:val="20"/>
                <w:lang w:val="en-US" w:bidi="hi-IN"/>
              </w:rPr>
              <w:br/>
              <w:t>Interest</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B3 - Brasil Bolsa Balcão</w:t>
            </w:r>
          </w:p>
        </w:tc>
        <w:tc>
          <w:tcPr>
            <w:tcW w:w="1149" w:type="dxa"/>
            <w:tcBorders>
              <w:top w:val="single" w:sz="8" w:space="0" w:color="auto"/>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184,647</w:t>
            </w:r>
          </w:p>
        </w:tc>
        <w:tc>
          <w:tcPr>
            <w:tcW w:w="1149" w:type="dxa"/>
            <w:tcBorders>
              <w:top w:val="single" w:sz="8" w:space="0" w:color="auto"/>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2,357</w:t>
            </w:r>
          </w:p>
        </w:tc>
        <w:tc>
          <w:tcPr>
            <w:tcW w:w="1149" w:type="dxa"/>
            <w:tcBorders>
              <w:top w:val="single" w:sz="8" w:space="0" w:color="auto"/>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95,115</w:t>
            </w:r>
          </w:p>
        </w:tc>
        <w:tc>
          <w:tcPr>
            <w:tcW w:w="1149" w:type="dxa"/>
            <w:tcBorders>
              <w:top w:val="single" w:sz="8" w:space="0" w:color="auto"/>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52,474</w:t>
            </w:r>
          </w:p>
        </w:tc>
        <w:tc>
          <w:tcPr>
            <w:tcW w:w="1149" w:type="dxa"/>
            <w:tcBorders>
              <w:top w:val="single" w:sz="8" w:space="0" w:color="auto"/>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20</w:t>
            </w:r>
          </w:p>
        </w:tc>
        <w:tc>
          <w:tcPr>
            <w:tcW w:w="1149" w:type="dxa"/>
            <w:tcBorders>
              <w:top w:val="single" w:sz="8" w:space="0" w:color="auto"/>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87,449</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Matba Rofex</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66,075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1,264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62,139</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11,953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32,975</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CME Group</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82,276,977</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4,897,162</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14,357,168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12,537,672</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680,321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10,480,959</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ASX Australian Securities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87,451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1,943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164,817</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12,360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2,245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48,000</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Hong Kong Exchanges and Clearing</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5,694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205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446</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National Stock Exchange of India</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NZX Limited</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21,623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127</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45,790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3,450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8,900</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Singapore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1,544,906</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1,004,999</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253,138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576,654</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Taiwan Futures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8,609</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149</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1,235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2,084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148</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Thailand Futures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887,989</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42,381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Bursa Malaysia Derivatives</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1,108,590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22,219</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192,056</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6,700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13,080</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Zhengzhou Commodity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146,364,261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792,291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8,859,784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1,326,746</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574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908,553</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Dalian Commodity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129,141,584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1,023,378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8,385,894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4,927,944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792</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1,337,401</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Multi Commodity Exchange of India</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17,777,743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103,782</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262,785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144,679</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2,391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6,801</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Shanghai Futures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146,286,009</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1,994,077</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6,728,802</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1,664,218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1,023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163,679</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Borsa Istanbul</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12,891,441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4,338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1,725,900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Deutsche Boerse AG</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589,766</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21,882</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2,514,008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293,226</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1,478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678,707</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Euronext</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1,401,783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19,143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674,004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84,468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1,345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220,200</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LSE Group</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80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Moscow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49,496,257</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35,305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2,126,194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585,263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413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96,560</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Dubai Gold and Commodities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3,374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325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r>
      <w:tr w:rsidR="00A12A17" w:rsidRPr="00797A8B" w:rsidTr="00A91C39">
        <w:trPr>
          <w:trHeight w:val="265"/>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London Metal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11,299,308</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1,565,334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2,046,511</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585,453</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90,070</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432,993</w:t>
            </w:r>
          </w:p>
        </w:tc>
      </w:tr>
      <w:tr w:rsidR="00A12A17" w:rsidRPr="00797A8B" w:rsidTr="00A91C39">
        <w:trPr>
          <w:trHeight w:val="498"/>
        </w:trPr>
        <w:tc>
          <w:tcPr>
            <w:tcW w:w="3713" w:type="dxa"/>
            <w:tcBorders>
              <w:top w:val="nil"/>
              <w:left w:val="single" w:sz="4" w:space="0" w:color="auto"/>
              <w:bottom w:val="nil"/>
              <w:right w:val="nil"/>
            </w:tcBorders>
            <w:shd w:val="clear" w:color="000000" w:fill="B4C6E7"/>
            <w:vAlign w:val="center"/>
            <w:hideMark/>
          </w:tcPr>
          <w:p w:rsidR="00A12A17" w:rsidRPr="004A099C" w:rsidRDefault="00A12A17" w:rsidP="00A91C39">
            <w:pPr>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The Saint-Petersburg International Mercantile Exchange</w:t>
            </w:r>
          </w:p>
        </w:tc>
        <w:tc>
          <w:tcPr>
            <w:tcW w:w="1149" w:type="dxa"/>
            <w:tcBorders>
              <w:top w:val="nil"/>
              <w:left w:val="single" w:sz="8" w:space="0" w:color="auto"/>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3,154</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36</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 xml:space="preserve"> 1,605</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c>
          <w:tcPr>
            <w:tcW w:w="1149" w:type="dxa"/>
            <w:tcBorders>
              <w:top w:val="nil"/>
              <w:left w:val="nil"/>
              <w:bottom w:val="nil"/>
              <w:right w:val="single" w:sz="8" w:space="0" w:color="auto"/>
            </w:tcBorders>
            <w:shd w:val="clear" w:color="auto" w:fill="auto"/>
            <w:vAlign w:val="center"/>
            <w:hideMark/>
          </w:tcPr>
          <w:p w:rsidR="00A12A17" w:rsidRPr="004A099C" w:rsidRDefault="00A12A17" w:rsidP="00A91C39">
            <w:pPr>
              <w:jc w:val="right"/>
              <w:rPr>
                <w:rFonts w:ascii="Garamond" w:eastAsia="Times New Roman" w:hAnsi="Garamond" w:cs="Calibri"/>
                <w:color w:val="000000"/>
                <w:sz w:val="20"/>
                <w:szCs w:val="20"/>
                <w:lang w:val="en-US" w:bidi="hi-IN"/>
              </w:rPr>
            </w:pPr>
            <w:r w:rsidRPr="004A099C">
              <w:rPr>
                <w:rFonts w:ascii="Garamond" w:eastAsia="Times New Roman" w:hAnsi="Garamond" w:cs="Calibri"/>
                <w:color w:val="000000"/>
                <w:sz w:val="20"/>
                <w:szCs w:val="20"/>
                <w:lang w:val="en-US" w:bidi="hi-IN"/>
              </w:rPr>
              <w:t>NA</w:t>
            </w:r>
          </w:p>
        </w:tc>
      </w:tr>
      <w:tr w:rsidR="00A12A17" w:rsidRPr="00797A8B" w:rsidTr="00A91C39">
        <w:trPr>
          <w:trHeight w:val="277"/>
        </w:trPr>
        <w:tc>
          <w:tcPr>
            <w:tcW w:w="3713" w:type="dxa"/>
            <w:tcBorders>
              <w:top w:val="single" w:sz="8" w:space="0" w:color="auto"/>
              <w:left w:val="single" w:sz="8" w:space="0" w:color="auto"/>
              <w:bottom w:val="single" w:sz="8" w:space="0" w:color="auto"/>
              <w:right w:val="nil"/>
            </w:tcBorders>
            <w:shd w:val="clear" w:color="000000" w:fill="D9E1F2"/>
            <w:vAlign w:val="center"/>
            <w:hideMark/>
          </w:tcPr>
          <w:p w:rsidR="00A12A17" w:rsidRPr="004A099C" w:rsidRDefault="00A12A17" w:rsidP="00A91C39">
            <w:pPr>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Grand Total</w:t>
            </w:r>
          </w:p>
        </w:tc>
        <w:tc>
          <w:tcPr>
            <w:tcW w:w="1149" w:type="dxa"/>
            <w:tcBorders>
              <w:top w:val="single" w:sz="8" w:space="0" w:color="auto"/>
              <w:left w:val="nil"/>
              <w:bottom w:val="single" w:sz="8" w:space="0" w:color="auto"/>
              <w:right w:val="nil"/>
            </w:tcBorders>
            <w:shd w:val="clear" w:color="000000" w:fill="D9E1F2"/>
            <w:vAlign w:val="bottom"/>
            <w:hideMark/>
          </w:tcPr>
          <w:p w:rsidR="00A12A17" w:rsidRPr="004A099C" w:rsidRDefault="00A12A17" w:rsidP="00A91C39">
            <w:pPr>
              <w:jc w:val="right"/>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 xml:space="preserve"> 601,447,241</w:t>
            </w:r>
          </w:p>
        </w:tc>
        <w:tc>
          <w:tcPr>
            <w:tcW w:w="1149" w:type="dxa"/>
            <w:tcBorders>
              <w:top w:val="single" w:sz="8" w:space="0" w:color="auto"/>
              <w:left w:val="nil"/>
              <w:bottom w:val="single" w:sz="8" w:space="0" w:color="auto"/>
              <w:right w:val="nil"/>
            </w:tcBorders>
            <w:shd w:val="clear" w:color="000000" w:fill="D9E1F2"/>
            <w:vAlign w:val="bottom"/>
            <w:hideMark/>
          </w:tcPr>
          <w:p w:rsidR="00A12A17" w:rsidRPr="004A099C" w:rsidRDefault="00A12A17" w:rsidP="00A91C39">
            <w:pPr>
              <w:jc w:val="right"/>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 xml:space="preserve"> 10,485,035</w:t>
            </w:r>
          </w:p>
        </w:tc>
        <w:tc>
          <w:tcPr>
            <w:tcW w:w="1149" w:type="dxa"/>
            <w:tcBorders>
              <w:top w:val="single" w:sz="8" w:space="0" w:color="auto"/>
              <w:left w:val="nil"/>
              <w:bottom w:val="single" w:sz="8" w:space="0" w:color="auto"/>
              <w:right w:val="nil"/>
            </w:tcBorders>
            <w:shd w:val="clear" w:color="000000" w:fill="D9E1F2"/>
            <w:vAlign w:val="bottom"/>
            <w:hideMark/>
          </w:tcPr>
          <w:p w:rsidR="00A12A17" w:rsidRPr="004A099C" w:rsidRDefault="00A12A17" w:rsidP="00A91C39">
            <w:pPr>
              <w:jc w:val="right"/>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 xml:space="preserve"> 49,292,038</w:t>
            </w:r>
          </w:p>
        </w:tc>
        <w:tc>
          <w:tcPr>
            <w:tcW w:w="1149" w:type="dxa"/>
            <w:tcBorders>
              <w:top w:val="single" w:sz="8" w:space="0" w:color="auto"/>
              <w:left w:val="nil"/>
              <w:bottom w:val="single" w:sz="8" w:space="0" w:color="auto"/>
              <w:right w:val="nil"/>
            </w:tcBorders>
            <w:shd w:val="clear" w:color="000000" w:fill="D9E1F2"/>
            <w:vAlign w:val="bottom"/>
            <w:hideMark/>
          </w:tcPr>
          <w:p w:rsidR="00A12A17" w:rsidRPr="004A099C" w:rsidRDefault="00A12A17" w:rsidP="00A91C39">
            <w:pPr>
              <w:jc w:val="right"/>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 xml:space="preserve"> 22,491,828</w:t>
            </w:r>
          </w:p>
        </w:tc>
        <w:tc>
          <w:tcPr>
            <w:tcW w:w="1149" w:type="dxa"/>
            <w:tcBorders>
              <w:top w:val="single" w:sz="8" w:space="0" w:color="auto"/>
              <w:left w:val="nil"/>
              <w:bottom w:val="single" w:sz="8" w:space="0" w:color="auto"/>
              <w:right w:val="nil"/>
            </w:tcBorders>
            <w:shd w:val="clear" w:color="000000" w:fill="D9E1F2"/>
            <w:vAlign w:val="bottom"/>
            <w:hideMark/>
          </w:tcPr>
          <w:p w:rsidR="00A12A17" w:rsidRPr="004A099C" w:rsidRDefault="00A12A17" w:rsidP="00A91C39">
            <w:pPr>
              <w:jc w:val="right"/>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 xml:space="preserve"> 780,714</w:t>
            </w:r>
          </w:p>
        </w:tc>
        <w:tc>
          <w:tcPr>
            <w:tcW w:w="1149" w:type="dxa"/>
            <w:tcBorders>
              <w:top w:val="single" w:sz="8" w:space="0" w:color="auto"/>
              <w:left w:val="nil"/>
              <w:bottom w:val="single" w:sz="8" w:space="0" w:color="auto"/>
              <w:right w:val="single" w:sz="8" w:space="0" w:color="auto"/>
            </w:tcBorders>
            <w:shd w:val="clear" w:color="000000" w:fill="D9E1F2"/>
            <w:vAlign w:val="bottom"/>
            <w:hideMark/>
          </w:tcPr>
          <w:p w:rsidR="00A12A17" w:rsidRPr="004A099C" w:rsidRDefault="00A12A17" w:rsidP="00A91C39">
            <w:pPr>
              <w:jc w:val="right"/>
              <w:rPr>
                <w:rFonts w:ascii="Garamond" w:eastAsia="Times New Roman" w:hAnsi="Garamond" w:cs="Calibri"/>
                <w:b/>
                <w:bCs/>
                <w:color w:val="000000"/>
                <w:sz w:val="20"/>
                <w:szCs w:val="20"/>
                <w:lang w:val="en-US" w:bidi="hi-IN"/>
              </w:rPr>
            </w:pPr>
            <w:r w:rsidRPr="004A099C">
              <w:rPr>
                <w:rFonts w:ascii="Garamond" w:eastAsia="Times New Roman" w:hAnsi="Garamond" w:cs="Calibri"/>
                <w:b/>
                <w:bCs/>
                <w:color w:val="000000"/>
                <w:sz w:val="20"/>
                <w:szCs w:val="20"/>
                <w:lang w:val="en-US" w:bidi="hi-IN"/>
              </w:rPr>
              <w:t xml:space="preserve"> 15,093,059</w:t>
            </w:r>
          </w:p>
        </w:tc>
      </w:tr>
    </w:tbl>
    <w:p w:rsidR="00A12A17" w:rsidRPr="001D2656" w:rsidRDefault="00A12A17" w:rsidP="00A12A17">
      <w:pPr>
        <w:spacing w:line="23" w:lineRule="atLeast"/>
        <w:rPr>
          <w:rFonts w:ascii="Garamond" w:hAnsi="Garamond"/>
          <w:bCs/>
          <w:sz w:val="18"/>
          <w:szCs w:val="18"/>
        </w:rPr>
      </w:pPr>
      <w:r w:rsidRPr="001D2656">
        <w:rPr>
          <w:rFonts w:ascii="Garamond" w:hAnsi="Garamond"/>
          <w:bCs/>
          <w:sz w:val="18"/>
          <w:szCs w:val="18"/>
        </w:rPr>
        <w:t xml:space="preserve"> NA: Not Available</w:t>
      </w:r>
    </w:p>
    <w:p w:rsidR="00A12A17" w:rsidRPr="001D2656" w:rsidRDefault="00A12A17" w:rsidP="00A12A17">
      <w:pPr>
        <w:spacing w:line="23" w:lineRule="atLeast"/>
        <w:jc w:val="both"/>
        <w:outlineLvl w:val="0"/>
        <w:rPr>
          <w:rFonts w:ascii="Garamond" w:hAnsi="Garamond"/>
          <w:bCs/>
          <w:sz w:val="18"/>
          <w:szCs w:val="18"/>
        </w:rPr>
      </w:pPr>
      <w:r w:rsidRPr="001D2656">
        <w:rPr>
          <w:rFonts w:ascii="Garamond" w:hAnsi="Garamond"/>
          <w:bCs/>
          <w:sz w:val="18"/>
          <w:szCs w:val="18"/>
        </w:rPr>
        <w:t>Source: World Federation of Exchanges</w:t>
      </w:r>
    </w:p>
    <w:p w:rsidR="00A12A17" w:rsidRPr="001D2656" w:rsidRDefault="00A12A17" w:rsidP="00A12A17">
      <w:pPr>
        <w:rPr>
          <w:rFonts w:ascii="Times New Roman" w:hAnsi="Times New Roman"/>
          <w:bCs/>
          <w:sz w:val="18"/>
          <w:szCs w:val="18"/>
        </w:rPr>
      </w:pPr>
      <w:r w:rsidRPr="001D2656">
        <w:rPr>
          <w:rFonts w:ascii="Times New Roman" w:hAnsi="Times New Roman"/>
          <w:bCs/>
          <w:sz w:val="18"/>
          <w:szCs w:val="18"/>
        </w:rPr>
        <w:br w:type="page"/>
      </w:r>
    </w:p>
    <w:p w:rsidR="00A12A17" w:rsidRPr="001D2656" w:rsidRDefault="00A12A17" w:rsidP="00A12A17">
      <w:pPr>
        <w:spacing w:line="23" w:lineRule="atLeast"/>
        <w:jc w:val="both"/>
        <w:rPr>
          <w:rFonts w:ascii="Garamond" w:hAnsi="Garamond"/>
          <w:b/>
          <w:bCs/>
          <w:szCs w:val="22"/>
        </w:rPr>
      </w:pPr>
      <w:r w:rsidRPr="001D2656">
        <w:rPr>
          <w:rFonts w:ascii="Garamond" w:hAnsi="Garamond"/>
          <w:b/>
          <w:bCs/>
          <w:szCs w:val="22"/>
        </w:rPr>
        <w:t>Table A9: Major Foreign Holders of US Treasury Securities (USD billion)</w:t>
      </w:r>
    </w:p>
    <w:tbl>
      <w:tblPr>
        <w:tblW w:w="10539" w:type="dxa"/>
        <w:tblLook w:val="04A0" w:firstRow="1" w:lastRow="0" w:firstColumn="1" w:lastColumn="0" w:noHBand="0" w:noVBand="1"/>
      </w:tblPr>
      <w:tblGrid>
        <w:gridCol w:w="1407"/>
        <w:gridCol w:w="1025"/>
        <w:gridCol w:w="737"/>
        <w:gridCol w:w="737"/>
        <w:gridCol w:w="737"/>
        <w:gridCol w:w="737"/>
        <w:gridCol w:w="737"/>
        <w:gridCol w:w="737"/>
        <w:gridCol w:w="737"/>
        <w:gridCol w:w="737"/>
        <w:gridCol w:w="737"/>
        <w:gridCol w:w="737"/>
        <w:gridCol w:w="737"/>
      </w:tblGrid>
      <w:tr w:rsidR="00A12A17" w:rsidRPr="00797A8B" w:rsidTr="00A91C39">
        <w:trPr>
          <w:trHeight w:val="284"/>
        </w:trPr>
        <w:tc>
          <w:tcPr>
            <w:tcW w:w="1407" w:type="dxa"/>
            <w:vMerge w:val="restart"/>
            <w:tcBorders>
              <w:top w:val="single" w:sz="8" w:space="0" w:color="auto"/>
              <w:left w:val="single" w:sz="8" w:space="0" w:color="auto"/>
              <w:bottom w:val="nil"/>
              <w:right w:val="single" w:sz="4" w:space="0" w:color="000000"/>
            </w:tcBorders>
            <w:shd w:val="clear" w:color="auto" w:fill="auto"/>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Country/ Month</w:t>
            </w:r>
          </w:p>
        </w:tc>
        <w:tc>
          <w:tcPr>
            <w:tcW w:w="1025" w:type="dxa"/>
            <w:tcBorders>
              <w:top w:val="single" w:sz="8" w:space="0" w:color="auto"/>
              <w:left w:val="single" w:sz="8" w:space="0" w:color="auto"/>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2020</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single" w:sz="8" w:space="0" w:color="auto"/>
              <w:bottom w:val="single" w:sz="8" w:space="0" w:color="auto"/>
              <w:right w:val="nil"/>
            </w:tcBorders>
            <w:shd w:val="clear" w:color="000000" w:fill="FFFFFF"/>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single" w:sz="8" w:space="0" w:color="auto"/>
              <w:left w:val="nil"/>
              <w:bottom w:val="single" w:sz="8" w:space="0" w:color="auto"/>
              <w:right w:val="single" w:sz="8" w:space="0" w:color="auto"/>
            </w:tcBorders>
            <w:shd w:val="clear" w:color="000000" w:fill="FFFFFF"/>
            <w:noWrap/>
            <w:vAlign w:val="center"/>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2021</w:t>
            </w:r>
          </w:p>
        </w:tc>
      </w:tr>
      <w:tr w:rsidR="00A12A17" w:rsidRPr="00797A8B" w:rsidTr="00A91C39">
        <w:trPr>
          <w:trHeight w:val="284"/>
        </w:trPr>
        <w:tc>
          <w:tcPr>
            <w:tcW w:w="1407" w:type="dxa"/>
            <w:vMerge/>
            <w:tcBorders>
              <w:top w:val="single" w:sz="8" w:space="0" w:color="auto"/>
              <w:left w:val="single" w:sz="8" w:space="0" w:color="auto"/>
              <w:bottom w:val="nil"/>
              <w:right w:val="single" w:sz="4" w:space="0" w:color="000000"/>
            </w:tcBorders>
            <w:vAlign w:val="center"/>
            <w:hideMark/>
          </w:tcPr>
          <w:p w:rsidR="00A12A17" w:rsidRPr="0019325D" w:rsidRDefault="00A12A17" w:rsidP="00A91C39">
            <w:pPr>
              <w:rPr>
                <w:rFonts w:ascii="Garamond" w:eastAsia="Times New Roman" w:hAnsi="Garamond" w:cs="Calibri"/>
                <w:b/>
                <w:bCs/>
                <w:color w:val="000000"/>
                <w:sz w:val="20"/>
                <w:szCs w:val="20"/>
                <w:lang w:val="en-US" w:bidi="hi-IN"/>
              </w:rPr>
            </w:pP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Mar</w:t>
            </w:r>
          </w:p>
        </w:tc>
        <w:tc>
          <w:tcPr>
            <w:tcW w:w="0" w:type="auto"/>
            <w:tcBorders>
              <w:top w:val="nil"/>
              <w:left w:val="single" w:sz="8" w:space="0" w:color="auto"/>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Apr</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May</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Jun</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Jul</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Aug</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Sep</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Oct</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Nov</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Dec</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Jan</w:t>
            </w:r>
          </w:p>
        </w:tc>
        <w:tc>
          <w:tcPr>
            <w:tcW w:w="0" w:type="auto"/>
            <w:tcBorders>
              <w:top w:val="nil"/>
              <w:left w:val="nil"/>
              <w:bottom w:val="nil"/>
              <w:right w:val="single" w:sz="8" w:space="0" w:color="auto"/>
            </w:tcBorders>
            <w:shd w:val="clear" w:color="auto" w:fill="auto"/>
            <w:hideMark/>
          </w:tcPr>
          <w:p w:rsidR="00A12A17" w:rsidRPr="0019325D" w:rsidRDefault="00A12A17" w:rsidP="00A91C39">
            <w:pPr>
              <w:jc w:val="cente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Feb</w:t>
            </w:r>
          </w:p>
        </w:tc>
      </w:tr>
      <w:tr w:rsidR="00A12A17" w:rsidRPr="00797A8B" w:rsidTr="00A91C39">
        <w:trPr>
          <w:trHeight w:val="272"/>
        </w:trPr>
        <w:tc>
          <w:tcPr>
            <w:tcW w:w="1407" w:type="dxa"/>
            <w:tcBorders>
              <w:top w:val="single" w:sz="8" w:space="0" w:color="auto"/>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Japan</w:t>
            </w:r>
          </w:p>
        </w:tc>
        <w:tc>
          <w:tcPr>
            <w:tcW w:w="1025" w:type="dxa"/>
            <w:tcBorders>
              <w:top w:val="single" w:sz="8" w:space="0" w:color="auto"/>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1272.6</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1266.5</w:t>
            </w:r>
          </w:p>
        </w:tc>
        <w:tc>
          <w:tcPr>
            <w:tcW w:w="0" w:type="auto"/>
            <w:tcBorders>
              <w:top w:val="single" w:sz="8" w:space="0" w:color="auto"/>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1260.4</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1261.6</w:t>
            </w:r>
          </w:p>
        </w:tc>
        <w:tc>
          <w:tcPr>
            <w:tcW w:w="0" w:type="auto"/>
            <w:tcBorders>
              <w:top w:val="single" w:sz="8" w:space="0" w:color="auto"/>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1293</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1278.4</w:t>
            </w:r>
          </w:p>
        </w:tc>
        <w:tc>
          <w:tcPr>
            <w:tcW w:w="0" w:type="auto"/>
            <w:tcBorders>
              <w:top w:val="single" w:sz="8" w:space="0" w:color="auto"/>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1276.2</w:t>
            </w:r>
          </w:p>
        </w:tc>
        <w:tc>
          <w:tcPr>
            <w:tcW w:w="0" w:type="auto"/>
            <w:tcBorders>
              <w:top w:val="single" w:sz="8" w:space="0" w:color="auto"/>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1273.1</w:t>
            </w:r>
          </w:p>
        </w:tc>
        <w:tc>
          <w:tcPr>
            <w:tcW w:w="0" w:type="auto"/>
            <w:tcBorders>
              <w:top w:val="single" w:sz="8" w:space="0" w:color="auto"/>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1260.8</w:t>
            </w:r>
          </w:p>
        </w:tc>
        <w:tc>
          <w:tcPr>
            <w:tcW w:w="0" w:type="auto"/>
            <w:tcBorders>
              <w:top w:val="single" w:sz="8" w:space="0" w:color="auto"/>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1251.3</w:t>
            </w:r>
          </w:p>
        </w:tc>
        <w:tc>
          <w:tcPr>
            <w:tcW w:w="0" w:type="auto"/>
            <w:tcBorders>
              <w:top w:val="single" w:sz="8" w:space="0" w:color="auto"/>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1276.7</w:t>
            </w:r>
          </w:p>
        </w:tc>
        <w:tc>
          <w:tcPr>
            <w:tcW w:w="0" w:type="auto"/>
            <w:tcBorders>
              <w:top w:val="single" w:sz="8" w:space="0" w:color="auto"/>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1258.2</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China, Mainland</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1081.6</w:t>
            </w:r>
          </w:p>
        </w:tc>
        <w:tc>
          <w:tcPr>
            <w:tcW w:w="0" w:type="auto"/>
            <w:tcBorders>
              <w:top w:val="nil"/>
              <w:left w:val="single" w:sz="8" w:space="0" w:color="auto"/>
              <w:bottom w:val="nil"/>
              <w:right w:val="single" w:sz="8" w:space="0" w:color="auto"/>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1072.8</w:t>
            </w:r>
          </w:p>
        </w:tc>
        <w:tc>
          <w:tcPr>
            <w:tcW w:w="0" w:type="auto"/>
            <w:tcBorders>
              <w:top w:val="nil"/>
              <w:left w:val="nil"/>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1083.7</w:t>
            </w:r>
          </w:p>
        </w:tc>
        <w:tc>
          <w:tcPr>
            <w:tcW w:w="0" w:type="auto"/>
            <w:tcBorders>
              <w:top w:val="nil"/>
              <w:left w:val="single" w:sz="8" w:space="0" w:color="auto"/>
              <w:bottom w:val="nil"/>
              <w:right w:val="single" w:sz="8" w:space="0" w:color="auto"/>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1074.4</w:t>
            </w:r>
          </w:p>
        </w:tc>
        <w:tc>
          <w:tcPr>
            <w:tcW w:w="0" w:type="auto"/>
            <w:tcBorders>
              <w:top w:val="nil"/>
              <w:left w:val="nil"/>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1073.4</w:t>
            </w:r>
          </w:p>
        </w:tc>
        <w:tc>
          <w:tcPr>
            <w:tcW w:w="0" w:type="auto"/>
            <w:tcBorders>
              <w:top w:val="nil"/>
              <w:left w:val="single" w:sz="8" w:space="0" w:color="auto"/>
              <w:bottom w:val="nil"/>
              <w:right w:val="single" w:sz="8" w:space="0" w:color="auto"/>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1068</w:t>
            </w:r>
          </w:p>
        </w:tc>
        <w:tc>
          <w:tcPr>
            <w:tcW w:w="0" w:type="auto"/>
            <w:tcBorders>
              <w:top w:val="nil"/>
              <w:left w:val="nil"/>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1061.7</w:t>
            </w:r>
          </w:p>
        </w:tc>
        <w:tc>
          <w:tcPr>
            <w:tcW w:w="0" w:type="auto"/>
            <w:tcBorders>
              <w:top w:val="nil"/>
              <w:left w:val="single" w:sz="8" w:space="0" w:color="auto"/>
              <w:bottom w:val="nil"/>
              <w:right w:val="single" w:sz="8" w:space="0" w:color="auto"/>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1054</w:t>
            </w:r>
          </w:p>
        </w:tc>
        <w:tc>
          <w:tcPr>
            <w:tcW w:w="0" w:type="auto"/>
            <w:tcBorders>
              <w:top w:val="nil"/>
              <w:left w:val="nil"/>
              <w:bottom w:val="nil"/>
              <w:right w:val="single" w:sz="8" w:space="0" w:color="auto"/>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1063</w:t>
            </w:r>
          </w:p>
        </w:tc>
        <w:tc>
          <w:tcPr>
            <w:tcW w:w="0" w:type="auto"/>
            <w:tcBorders>
              <w:top w:val="nil"/>
              <w:left w:val="nil"/>
              <w:bottom w:val="nil"/>
              <w:right w:val="single" w:sz="8" w:space="0" w:color="auto"/>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1072.3</w:t>
            </w:r>
          </w:p>
        </w:tc>
        <w:tc>
          <w:tcPr>
            <w:tcW w:w="0" w:type="auto"/>
            <w:tcBorders>
              <w:top w:val="nil"/>
              <w:left w:val="nil"/>
              <w:bottom w:val="nil"/>
              <w:right w:val="single" w:sz="8" w:space="0" w:color="auto"/>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1095.2</w:t>
            </w:r>
          </w:p>
        </w:tc>
        <w:tc>
          <w:tcPr>
            <w:tcW w:w="0" w:type="auto"/>
            <w:tcBorders>
              <w:top w:val="nil"/>
              <w:left w:val="nil"/>
              <w:bottom w:val="nil"/>
              <w:right w:val="single" w:sz="8" w:space="0" w:color="auto"/>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1104.2</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United Kingdom</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469.7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429.2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445.8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445.3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424.6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419.4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428.5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442.8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420.5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440.6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438.7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459.5</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Ireland</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271.6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301.3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324.2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330.2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330.7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335.2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315.7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316.3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314.2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318.1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313.6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316</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Luxembourg</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246.1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265.5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262.7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267.3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264.7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268.8</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262.5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266.2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267.8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287.7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281.4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282.1</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Brazil</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264.4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259.5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264.4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264.1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265.7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265.1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262.9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262.2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258.3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260.4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259</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Switzerland</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244.6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241.3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243.1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247.3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250.4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253.4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255.4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255.5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253.3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255.5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257.8</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Belgium</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206.1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210.2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212.1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219.8</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211.8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214.9</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218.1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239.5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240.5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253.5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248.2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236.7</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Taiwan</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205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201.7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199.2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204.6</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209.7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213.5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218.2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222.3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235.4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239.6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234.5</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Hong Kong</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259.4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262.2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262.7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246.7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241.7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226.6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223.8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224.1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223.9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225</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Cayman Islands</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209.4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213.1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216.7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222.3</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229</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231.6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221.5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222.9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222.9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217.6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216</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India</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156.5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157.4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169.9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182.7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194.6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196.5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213.5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222.4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220.2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216.2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211.6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204.4</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Singapore</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151.5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146.1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142.1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150.5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158.6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160.3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159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162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163.8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168.1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164.3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161.4</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Saudi Arabia</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159.1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125.3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123.5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124.9</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124.6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130</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131.2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134.2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137.6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136.4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135.1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132.9</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Korea</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110.8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120</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117.3</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122.7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123.1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122.7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123.2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119.1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122.8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130.9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125.2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125.7</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Canada</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131.5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136.3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129.9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127.6</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133.9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131.1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131.3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127.4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119.9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126.7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112.7</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France</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156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137.7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130.5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144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130</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133.3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135.1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136.9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132.4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111.3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122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108.7</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Norway</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98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93.2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87.6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88.7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89.9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90.6</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90.5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82.9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87.5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91.5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97.6</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Thailand</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81.8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80.5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85.8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85.5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87.9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85.7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83.2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80</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82.2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80.6</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Germany</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77.3</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77.7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80.6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79.3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78.2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78.7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74.7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74.2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75.4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74.8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73.5</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Bermuda</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64.2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65.5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63.9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70.9</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71.1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74.2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76.1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73.9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72.6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68.2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67.1</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Netherlands</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66.2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67.9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71.2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68.5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71.7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66.1</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Israel</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47.6</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48.4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51.5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53.3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48.7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53.7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58.2</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Poland</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35.6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34.4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39.7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43.8</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50.5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53.3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53.2</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Philippines</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47.6</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48.6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50.8</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United Arab Emirates</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27.9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36.6</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33.1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36.8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32.2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33.8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50.6</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Mexico</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45.4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49.5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49.2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48.8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52.7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49.4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49.8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49.4</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Kuwait</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47.1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45.3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44.8</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Sweden</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39.5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36.5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39.1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40.8</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Australia</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46.3</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44.8</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42.9</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39.3</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39.5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39.8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40.5</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Chile</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29.8</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29.8</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30.1</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27.7</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27.3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38.2</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Vietnam</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29.6</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30.3</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32.6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33.2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37.3</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Italy</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43.5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44.2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39.1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38.3</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36.8</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Colombia</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29.3</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26.5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28.2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30.6</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29.8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31.9</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32.4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30.6</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All Other</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516.7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531.8</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540.8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536.7</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548.3</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533.3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533.4</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518.5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507.2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501.8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493.4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487.9</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Grand Total</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6949.5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6903.4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6978</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7046.9</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7096.2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7082</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7069.2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7070.4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7051.2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7070.8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7119.6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7098.9</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0" w:type="auto"/>
            <w:tcBorders>
              <w:top w:val="nil"/>
              <w:left w:val="nil"/>
              <w:bottom w:val="nil"/>
              <w:right w:val="nil"/>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0" w:type="auto"/>
            <w:tcBorders>
              <w:top w:val="nil"/>
              <w:left w:val="nil"/>
              <w:bottom w:val="nil"/>
              <w:right w:val="nil"/>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0" w:type="auto"/>
            <w:tcBorders>
              <w:top w:val="nil"/>
              <w:left w:val="nil"/>
              <w:bottom w:val="nil"/>
              <w:right w:val="nil"/>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 </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Of which:</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nil"/>
              <w:left w:val="nil"/>
              <w:bottom w:val="nil"/>
              <w:right w:val="nil"/>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nil"/>
              <w:left w:val="nil"/>
              <w:bottom w:val="nil"/>
              <w:right w:val="nil"/>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nil"/>
              <w:left w:val="nil"/>
              <w:bottom w:val="nil"/>
              <w:right w:val="nil"/>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rPr>
                <w:rFonts w:ascii="Garamond" w:eastAsia="Times New Roman" w:hAnsi="Garamond" w:cs="Calibri"/>
                <w:b/>
                <w:bCs/>
                <w:color w:val="000000"/>
                <w:sz w:val="20"/>
                <w:szCs w:val="20"/>
                <w:lang w:val="en-US" w:bidi="hi-IN"/>
              </w:rPr>
            </w:pPr>
            <w:r w:rsidRPr="0019325D">
              <w:rPr>
                <w:rFonts w:ascii="Garamond" w:eastAsia="Times New Roman" w:hAnsi="Garamond" w:cs="Calibri"/>
                <w:b/>
                <w:bCs/>
                <w:color w:val="000000"/>
                <w:sz w:val="20"/>
                <w:szCs w:val="20"/>
                <w:lang w:val="en-US" w:bidi="hi-IN"/>
              </w:rPr>
              <w:t> </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For. Official</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4117.9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4047.4</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4105.9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4147.1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4191.2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4199.3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4198.9</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4166.8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4176.2</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4186.5</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4224.6</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4235.4</w:t>
            </w:r>
          </w:p>
        </w:tc>
      </w:tr>
      <w:tr w:rsidR="00A12A17" w:rsidRPr="00797A8B" w:rsidTr="00A91C39">
        <w:trPr>
          <w:trHeight w:val="272"/>
        </w:trPr>
        <w:tc>
          <w:tcPr>
            <w:tcW w:w="1407" w:type="dxa"/>
            <w:tcBorders>
              <w:top w:val="nil"/>
              <w:left w:val="single" w:sz="8" w:space="0" w:color="auto"/>
              <w:bottom w:val="nil"/>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Treasury Bills</w:t>
            </w:r>
          </w:p>
        </w:tc>
        <w:tc>
          <w:tcPr>
            <w:tcW w:w="1025" w:type="dxa"/>
            <w:tcBorders>
              <w:top w:val="nil"/>
              <w:left w:val="single" w:sz="8" w:space="0" w:color="auto"/>
              <w:bottom w:val="nil"/>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283.2</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331</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355.7</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382.3</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393.6</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385</w:t>
            </w:r>
          </w:p>
        </w:tc>
        <w:tc>
          <w:tcPr>
            <w:tcW w:w="0" w:type="auto"/>
            <w:tcBorders>
              <w:top w:val="nil"/>
              <w:left w:val="nil"/>
              <w:bottom w:val="nil"/>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371.5</w:t>
            </w:r>
          </w:p>
        </w:tc>
        <w:tc>
          <w:tcPr>
            <w:tcW w:w="0" w:type="auto"/>
            <w:tcBorders>
              <w:top w:val="nil"/>
              <w:left w:val="single" w:sz="8" w:space="0" w:color="auto"/>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375.4</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370.8</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361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378.1</w:t>
            </w:r>
          </w:p>
        </w:tc>
        <w:tc>
          <w:tcPr>
            <w:tcW w:w="0" w:type="auto"/>
            <w:tcBorders>
              <w:top w:val="nil"/>
              <w:left w:val="nil"/>
              <w:bottom w:val="nil"/>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406.2</w:t>
            </w:r>
          </w:p>
        </w:tc>
      </w:tr>
      <w:tr w:rsidR="00A12A17" w:rsidRPr="00797A8B" w:rsidTr="00A91C39">
        <w:trPr>
          <w:trHeight w:val="284"/>
        </w:trPr>
        <w:tc>
          <w:tcPr>
            <w:tcW w:w="1407" w:type="dxa"/>
            <w:tcBorders>
              <w:top w:val="nil"/>
              <w:left w:val="single" w:sz="8" w:space="0" w:color="auto"/>
              <w:bottom w:val="single" w:sz="8" w:space="0" w:color="auto"/>
              <w:right w:val="nil"/>
            </w:tcBorders>
            <w:shd w:val="clear" w:color="auto" w:fill="auto"/>
            <w:noWrap/>
            <w:vAlign w:val="center"/>
            <w:hideMark/>
          </w:tcPr>
          <w:p w:rsidR="00A12A17" w:rsidRPr="0019325D" w:rsidRDefault="00A12A17" w:rsidP="00A91C39">
            <w:pPr>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T-Bonds &amp; Notes</w:t>
            </w:r>
          </w:p>
        </w:tc>
        <w:tc>
          <w:tcPr>
            <w:tcW w:w="1025" w:type="dxa"/>
            <w:tcBorders>
              <w:top w:val="nil"/>
              <w:left w:val="single" w:sz="8" w:space="0" w:color="auto"/>
              <w:bottom w:val="single" w:sz="8" w:space="0" w:color="auto"/>
              <w:right w:val="nil"/>
            </w:tcBorders>
            <w:shd w:val="clear" w:color="auto" w:fill="auto"/>
            <w:noWrap/>
            <w:vAlign w:val="center"/>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3834.6</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3716.4</w:t>
            </w:r>
          </w:p>
        </w:tc>
        <w:tc>
          <w:tcPr>
            <w:tcW w:w="0" w:type="auto"/>
            <w:tcBorders>
              <w:top w:val="nil"/>
              <w:left w:val="nil"/>
              <w:bottom w:val="single" w:sz="8" w:space="0" w:color="auto"/>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3750.2</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3764.9</w:t>
            </w:r>
          </w:p>
        </w:tc>
        <w:tc>
          <w:tcPr>
            <w:tcW w:w="0" w:type="auto"/>
            <w:tcBorders>
              <w:top w:val="nil"/>
              <w:left w:val="nil"/>
              <w:bottom w:val="single" w:sz="8" w:space="0" w:color="auto"/>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3797.6</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3814.3</w:t>
            </w:r>
          </w:p>
        </w:tc>
        <w:tc>
          <w:tcPr>
            <w:tcW w:w="0" w:type="auto"/>
            <w:tcBorders>
              <w:top w:val="nil"/>
              <w:left w:val="nil"/>
              <w:bottom w:val="single" w:sz="8" w:space="0" w:color="auto"/>
              <w:right w:val="nil"/>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3827.4</w:t>
            </w:r>
          </w:p>
        </w:tc>
        <w:tc>
          <w:tcPr>
            <w:tcW w:w="0" w:type="auto"/>
            <w:tcBorders>
              <w:top w:val="nil"/>
              <w:left w:val="single" w:sz="8" w:space="0" w:color="auto"/>
              <w:bottom w:val="single" w:sz="8" w:space="0" w:color="auto"/>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3791.3</w:t>
            </w:r>
          </w:p>
        </w:tc>
        <w:tc>
          <w:tcPr>
            <w:tcW w:w="0" w:type="auto"/>
            <w:tcBorders>
              <w:top w:val="nil"/>
              <w:left w:val="nil"/>
              <w:bottom w:val="single" w:sz="8" w:space="0" w:color="auto"/>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3805.4</w:t>
            </w:r>
          </w:p>
        </w:tc>
        <w:tc>
          <w:tcPr>
            <w:tcW w:w="0" w:type="auto"/>
            <w:tcBorders>
              <w:top w:val="nil"/>
              <w:left w:val="nil"/>
              <w:bottom w:val="single" w:sz="8" w:space="0" w:color="auto"/>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3825.6</w:t>
            </w:r>
          </w:p>
        </w:tc>
        <w:tc>
          <w:tcPr>
            <w:tcW w:w="0" w:type="auto"/>
            <w:tcBorders>
              <w:top w:val="nil"/>
              <w:left w:val="nil"/>
              <w:bottom w:val="single" w:sz="8" w:space="0" w:color="auto"/>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3846.6</w:t>
            </w:r>
          </w:p>
        </w:tc>
        <w:tc>
          <w:tcPr>
            <w:tcW w:w="0" w:type="auto"/>
            <w:tcBorders>
              <w:top w:val="nil"/>
              <w:left w:val="nil"/>
              <w:bottom w:val="single" w:sz="8" w:space="0" w:color="auto"/>
              <w:right w:val="single" w:sz="8" w:space="0" w:color="auto"/>
            </w:tcBorders>
            <w:shd w:val="clear" w:color="auto" w:fill="auto"/>
            <w:noWrap/>
            <w:vAlign w:val="bottom"/>
            <w:hideMark/>
          </w:tcPr>
          <w:p w:rsidR="00A12A17" w:rsidRPr="0019325D" w:rsidRDefault="00A12A17" w:rsidP="00A91C39">
            <w:pPr>
              <w:jc w:val="right"/>
              <w:rPr>
                <w:rFonts w:ascii="Garamond" w:eastAsia="Times New Roman" w:hAnsi="Garamond" w:cs="Calibri"/>
                <w:color w:val="000000"/>
                <w:sz w:val="20"/>
                <w:szCs w:val="20"/>
                <w:lang w:val="en-US" w:bidi="hi-IN"/>
              </w:rPr>
            </w:pPr>
            <w:r w:rsidRPr="0019325D">
              <w:rPr>
                <w:rFonts w:ascii="Garamond" w:eastAsia="Times New Roman" w:hAnsi="Garamond" w:cs="Calibri"/>
                <w:color w:val="000000"/>
                <w:sz w:val="20"/>
                <w:szCs w:val="20"/>
                <w:lang w:val="en-US" w:bidi="hi-IN"/>
              </w:rPr>
              <w:t>3829.2</w:t>
            </w:r>
          </w:p>
        </w:tc>
      </w:tr>
    </w:tbl>
    <w:p w:rsidR="00A12A17" w:rsidRPr="001D2656" w:rsidRDefault="00A12A17" w:rsidP="00A12A17">
      <w:pPr>
        <w:spacing w:line="23" w:lineRule="atLeast"/>
        <w:rPr>
          <w:rFonts w:ascii="Garamond" w:hAnsi="Garamond"/>
          <w:bCs/>
          <w:sz w:val="18"/>
          <w:szCs w:val="18"/>
        </w:rPr>
      </w:pPr>
      <w:r w:rsidRPr="001D2656">
        <w:rPr>
          <w:rFonts w:ascii="Garamond" w:hAnsi="Garamond"/>
          <w:bCs/>
          <w:sz w:val="18"/>
          <w:szCs w:val="18"/>
        </w:rPr>
        <w:t xml:space="preserve"> Note: </w:t>
      </w:r>
    </w:p>
    <w:p w:rsidR="00A12A17" w:rsidRPr="001D2656" w:rsidRDefault="00A12A17" w:rsidP="00A12A17">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 xml:space="preserve">Data available as on </w:t>
      </w:r>
      <w:r>
        <w:rPr>
          <w:rFonts w:ascii="Garamond" w:hAnsi="Garamond"/>
          <w:bCs/>
          <w:sz w:val="18"/>
          <w:szCs w:val="18"/>
          <w:lang w:val="en-US"/>
        </w:rPr>
        <w:t>15 April</w:t>
      </w:r>
      <w:r w:rsidRPr="001D2656">
        <w:rPr>
          <w:rFonts w:ascii="Garamond" w:hAnsi="Garamond"/>
          <w:bCs/>
          <w:sz w:val="18"/>
          <w:szCs w:val="18"/>
          <w:lang w:val="en-US"/>
        </w:rPr>
        <w:t xml:space="preserve"> 2021</w:t>
      </w:r>
    </w:p>
    <w:p w:rsidR="00A12A17" w:rsidRPr="001D2656" w:rsidRDefault="00A12A17" w:rsidP="00A12A17">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The data in this table are collected primarily from U.S.-based custodians and broker-dealers. Since U.S. securities held in overseas custody accounts may not be attributed to the actual owners, the data may not provide a precise accounting of individual country ownership of Treasury securities (see TIC FAQ #7 at: http://www.treasury.gov/resource-center/data-chart-center/tic/Pages/ticfaq1.aspx)</w:t>
      </w:r>
    </w:p>
    <w:p w:rsidR="00A12A17" w:rsidRPr="001D2656" w:rsidRDefault="00A12A17" w:rsidP="00A12A17">
      <w:pPr>
        <w:numPr>
          <w:ilvl w:val="0"/>
          <w:numId w:val="6"/>
        </w:numPr>
        <w:spacing w:line="23" w:lineRule="atLeast"/>
        <w:ind w:left="360"/>
        <w:contextualSpacing/>
        <w:jc w:val="both"/>
        <w:rPr>
          <w:rFonts w:ascii="Garamond" w:hAnsi="Garamond"/>
          <w:bCs/>
          <w:sz w:val="18"/>
          <w:szCs w:val="18"/>
          <w:lang w:val="en-US"/>
        </w:rPr>
      </w:pPr>
      <w:r w:rsidRPr="001D2656">
        <w:rPr>
          <w:rFonts w:ascii="Garamond" w:hAnsi="Garamond"/>
          <w:bCs/>
          <w:sz w:val="18"/>
          <w:szCs w:val="18"/>
          <w:lang w:val="en-US"/>
        </w:rPr>
        <w:t>Estimated foreign holdings of U.S. Treasury marketable and non-marketable bills, bonds, and notes reported under the Treasury  International Capital (TIC) reporting system are based on monthly data on holdings of Treasury bonds and notes  as reported on TIC Form SLT, Aggregate Holdings of Long-Term Securities by U.S. and Foreign Residents  and on TIC Form BL2, Report of Customers' U.S. Dollar Liabilities to Foreign Residents.</w:t>
      </w:r>
    </w:p>
    <w:p w:rsidR="000F236F" w:rsidRDefault="00A12A17" w:rsidP="00A12A17">
      <w:pPr>
        <w:spacing w:line="23" w:lineRule="atLeast"/>
        <w:rPr>
          <w:rFonts w:ascii="Garamond" w:hAnsi="Garamond"/>
          <w:bCs/>
          <w:sz w:val="18"/>
          <w:szCs w:val="18"/>
        </w:rPr>
      </w:pPr>
      <w:r w:rsidRPr="001D2656">
        <w:rPr>
          <w:rFonts w:ascii="Garamond" w:hAnsi="Garamond"/>
          <w:bCs/>
          <w:sz w:val="18"/>
          <w:szCs w:val="18"/>
        </w:rPr>
        <w:t>Source: Department of the Treasury/Federal Reserve Board</w:t>
      </w:r>
    </w:p>
    <w:p w:rsidR="00C909C0" w:rsidRDefault="00C909C0">
      <w:pPr>
        <w:rPr>
          <w:rFonts w:ascii="Garamond" w:hAnsi="Garamond"/>
          <w:bCs/>
          <w:sz w:val="18"/>
          <w:szCs w:val="18"/>
        </w:rPr>
      </w:pPr>
      <w:r>
        <w:rPr>
          <w:rFonts w:ascii="Garamond" w:hAnsi="Garamond"/>
          <w:bCs/>
          <w:sz w:val="18"/>
          <w:szCs w:val="18"/>
        </w:rPr>
        <w:br w:type="page"/>
      </w:r>
    </w:p>
    <w:p w:rsidR="000F236F"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HIGHLIGHTS OF DEVELOPMENTS IN</w:t>
      </w:r>
    </w:p>
    <w:p w:rsidR="000F236F" w:rsidRPr="004752BB" w:rsidRDefault="000F236F" w:rsidP="000E125F">
      <w:pPr>
        <w:jc w:val="center"/>
        <w:rPr>
          <w:rFonts w:ascii="Palatino Linotype" w:hAnsi="Palatino Linotype" w:cs="Calibri"/>
          <w:b/>
          <w:sz w:val="28"/>
          <w:szCs w:val="28"/>
        </w:rPr>
      </w:pPr>
      <w:r w:rsidRPr="004752BB">
        <w:rPr>
          <w:rFonts w:ascii="Palatino Linotype" w:hAnsi="Palatino Linotype" w:cs="Calibri"/>
          <w:b/>
          <w:sz w:val="28"/>
          <w:szCs w:val="28"/>
        </w:rPr>
        <w:t>INTERNATIONAL SECURITIES MARKET</w:t>
      </w:r>
    </w:p>
    <w:p w:rsidR="000F236F" w:rsidRDefault="000F236F" w:rsidP="000F236F">
      <w:pPr>
        <w:tabs>
          <w:tab w:val="left" w:pos="8160"/>
        </w:tabs>
        <w:jc w:val="both"/>
        <w:rPr>
          <w:rFonts w:ascii="Palatino Linotype" w:hAnsi="Palatino Linotype"/>
          <w:b/>
          <w:sz w:val="22"/>
          <w:szCs w:val="22"/>
        </w:rPr>
      </w:pPr>
    </w:p>
    <w:p w:rsidR="000F236F" w:rsidRDefault="000F236F" w:rsidP="000F236F">
      <w:pPr>
        <w:pStyle w:val="NormalWeb"/>
        <w:shd w:val="clear" w:color="auto" w:fill="FFFFFF"/>
        <w:spacing w:before="0" w:beforeAutospacing="0" w:after="0" w:afterAutospacing="0"/>
        <w:textAlignment w:val="baseline"/>
        <w:rPr>
          <w:rFonts w:ascii="Palatino Linotype" w:hAnsi="Palatino Linotype" w:cs="Arial"/>
          <w:b/>
          <w:bCs/>
          <w:sz w:val="22"/>
          <w:szCs w:val="22"/>
          <w:bdr w:val="none" w:sz="0" w:space="0" w:color="auto" w:frame="1"/>
        </w:rPr>
      </w:pPr>
    </w:p>
    <w:p w:rsidR="00013BA3" w:rsidRPr="0067031B" w:rsidRDefault="00013BA3" w:rsidP="00013BA3">
      <w:pPr>
        <w:shd w:val="clear" w:color="auto" w:fill="FFFFFF"/>
        <w:spacing w:line="276" w:lineRule="auto"/>
        <w:jc w:val="both"/>
        <w:textAlignment w:val="baseline"/>
        <w:rPr>
          <w:rFonts w:ascii="Palatino Linotype" w:hAnsi="Palatino Linotype"/>
          <w:b/>
          <w:bCs/>
          <w:lang w:val="en-US" w:bidi="hi-IN"/>
        </w:rPr>
      </w:pPr>
      <w:r w:rsidRPr="0067031B">
        <w:rPr>
          <w:rFonts w:ascii="Palatino Linotype" w:hAnsi="Palatino Linotype"/>
          <w:b/>
          <w:bCs/>
          <w:lang w:val="en-US" w:bidi="hi-IN"/>
        </w:rPr>
        <w:t>1) SEC Responds to Investor Demand by bringing together Agency Information about Climate and ESG Issues</w:t>
      </w:r>
    </w:p>
    <w:p w:rsidR="00013BA3" w:rsidRPr="0067031B" w:rsidRDefault="00013BA3" w:rsidP="00013BA3">
      <w:pPr>
        <w:shd w:val="clear" w:color="auto" w:fill="FFFFFF"/>
        <w:spacing w:line="276" w:lineRule="auto"/>
        <w:jc w:val="both"/>
        <w:textAlignment w:val="baseline"/>
        <w:rPr>
          <w:rFonts w:ascii="Palatino Linotype" w:hAnsi="Palatino Linotype"/>
          <w:b/>
          <w:bCs/>
          <w:lang w:val="en-US" w:bidi="hi-IN"/>
        </w:rPr>
      </w:pPr>
    </w:p>
    <w:p w:rsidR="00013BA3" w:rsidRPr="0067031B" w:rsidRDefault="00013BA3" w:rsidP="00013BA3">
      <w:pPr>
        <w:jc w:val="both"/>
        <w:rPr>
          <w:rFonts w:ascii="Palatino Linotype" w:hAnsi="Palatino Linotype"/>
          <w:lang w:val="en-IN" w:eastAsia="en-IN" w:bidi="hi-IN"/>
        </w:rPr>
      </w:pPr>
      <w:r w:rsidRPr="0067031B">
        <w:rPr>
          <w:rFonts w:ascii="Palatino Linotype" w:hAnsi="Palatino Linotype"/>
          <w:lang w:val="en-US" w:bidi="hi-IN"/>
        </w:rPr>
        <w:t>The Securities and Exchange Commission (SEC) has launched a new page on its website to bring together agency actions and the latest information about climate and environmental, social and governance (ESG) investing. In response to increased investor demand for this information, the page will appear on the front page of SEC.gov and will be updated as the agency continues to respond to investors.</w:t>
      </w:r>
    </w:p>
    <w:p w:rsidR="00013BA3" w:rsidRPr="0067031B" w:rsidRDefault="00013BA3" w:rsidP="00013BA3">
      <w:pPr>
        <w:jc w:val="both"/>
        <w:rPr>
          <w:rFonts w:ascii="Palatino Linotype" w:hAnsi="Palatino Linotype" w:cs="Calibri"/>
          <w:bCs/>
        </w:rPr>
      </w:pPr>
    </w:p>
    <w:p w:rsidR="00013BA3" w:rsidRPr="0067031B" w:rsidRDefault="00013BA3" w:rsidP="00013BA3">
      <w:pPr>
        <w:jc w:val="both"/>
        <w:rPr>
          <w:rFonts w:ascii="Palatino Linotype" w:hAnsi="Palatino Linotype" w:cs="Calibri"/>
          <w:b/>
        </w:rPr>
      </w:pPr>
      <w:r w:rsidRPr="0067031B">
        <w:rPr>
          <w:rFonts w:ascii="Palatino Linotype" w:hAnsi="Palatino Linotype" w:cs="Calibri"/>
          <w:b/>
        </w:rPr>
        <w:t xml:space="preserve">Source:  </w:t>
      </w:r>
      <w:r w:rsidRPr="0067031B">
        <w:rPr>
          <w:rFonts w:ascii="Palatino Linotype" w:hAnsi="Palatino Linotype"/>
          <w:b/>
        </w:rPr>
        <w:t>https://www.sec.gov/news/press-release/2021-52</w:t>
      </w:r>
    </w:p>
    <w:p w:rsidR="00013BA3" w:rsidRPr="0067031B" w:rsidRDefault="00013BA3" w:rsidP="00013BA3">
      <w:pPr>
        <w:jc w:val="both"/>
        <w:rPr>
          <w:rFonts w:ascii="Palatino Linotype" w:hAnsi="Palatino Linotype"/>
          <w:i/>
          <w:iCs/>
          <w:lang w:val="en-US" w:bidi="hi-IN"/>
        </w:rPr>
      </w:pPr>
    </w:p>
    <w:p w:rsidR="00013BA3" w:rsidRPr="0067031B" w:rsidRDefault="00013BA3" w:rsidP="00013BA3">
      <w:pPr>
        <w:jc w:val="both"/>
        <w:rPr>
          <w:rFonts w:ascii="Palatino Linotype" w:hAnsi="Palatino Linotype"/>
          <w:b/>
          <w:bCs/>
          <w:lang w:val="en-US" w:bidi="hi-IN"/>
        </w:rPr>
      </w:pPr>
      <w:r w:rsidRPr="0067031B">
        <w:rPr>
          <w:rFonts w:ascii="Palatino Linotype" w:hAnsi="Palatino Linotype"/>
          <w:b/>
          <w:bCs/>
        </w:rPr>
        <w:t>2</w:t>
      </w:r>
      <w:r w:rsidRPr="0067031B">
        <w:rPr>
          <w:rFonts w:ascii="Palatino Linotype" w:hAnsi="Palatino Linotype"/>
          <w:b/>
          <w:bCs/>
          <w:lang w:val="en-US" w:bidi="hi-IN"/>
        </w:rPr>
        <w:t xml:space="preserve">)  </w:t>
      </w:r>
      <w:r w:rsidRPr="0067031B">
        <w:rPr>
          <w:rFonts w:ascii="Palatino Linotype" w:eastAsia="Calibri" w:hAnsi="Palatino Linotype"/>
          <w:b/>
          <w:bCs/>
          <w:lang w:val="en-US" w:bidi="hi-IN"/>
        </w:rPr>
        <w:t>SEC Issues Amendments, Seeks Public Comment on Holding Foreign Companies Accountable Act</w:t>
      </w:r>
    </w:p>
    <w:p w:rsidR="00013BA3" w:rsidRPr="0067031B" w:rsidRDefault="00013BA3" w:rsidP="00013BA3">
      <w:pPr>
        <w:jc w:val="both"/>
        <w:rPr>
          <w:rFonts w:ascii="Palatino Linotype" w:eastAsia="Calibri" w:hAnsi="Palatino Linotype"/>
          <w:lang w:val="en-US" w:bidi="hi-IN"/>
        </w:rPr>
      </w:pPr>
    </w:p>
    <w:p w:rsidR="00013BA3" w:rsidRDefault="00013BA3" w:rsidP="00013BA3">
      <w:pPr>
        <w:jc w:val="both"/>
        <w:rPr>
          <w:rFonts w:ascii="Palatino Linotype" w:hAnsi="Palatino Linotype"/>
          <w:lang w:val="en-US" w:bidi="hi-IN"/>
        </w:rPr>
      </w:pPr>
      <w:r w:rsidRPr="0067031B">
        <w:rPr>
          <w:rFonts w:ascii="Palatino Linotype" w:eastAsia="Calibri" w:hAnsi="Palatino Linotype"/>
          <w:lang w:val="en-US" w:bidi="hi-IN"/>
        </w:rPr>
        <w:t>SEC has adopted interim final amendments to implement congressionally mandated submission and disclosure requirements of the Holding Foreign Companies Accountable Act (HFCA Act). </w:t>
      </w:r>
    </w:p>
    <w:p w:rsidR="00013BA3" w:rsidRPr="0067031B" w:rsidRDefault="00013BA3" w:rsidP="00013BA3">
      <w:pPr>
        <w:jc w:val="both"/>
        <w:rPr>
          <w:rFonts w:ascii="Palatino Linotype" w:eastAsia="Calibri" w:hAnsi="Palatino Linotype"/>
          <w:lang w:val="en-US" w:bidi="hi-IN"/>
        </w:rPr>
      </w:pPr>
    </w:p>
    <w:p w:rsidR="00013BA3" w:rsidRDefault="00013BA3" w:rsidP="00013BA3">
      <w:pPr>
        <w:jc w:val="both"/>
        <w:rPr>
          <w:rFonts w:ascii="Palatino Linotype" w:hAnsi="Palatino Linotype"/>
          <w:lang w:val="en-US" w:bidi="hi-IN"/>
        </w:rPr>
      </w:pPr>
      <w:r w:rsidRPr="0067031B">
        <w:rPr>
          <w:rFonts w:ascii="Palatino Linotype" w:eastAsia="Calibri" w:hAnsi="Palatino Linotype"/>
          <w:lang w:val="en-US" w:bidi="hi-IN"/>
        </w:rPr>
        <w:t xml:space="preserve">The interim final amendments will apply to registrants that the Commission identifies as having filed an annual report on Forms 10-K, 20-F, 40-F or N-CSR with an audit report issued by a registered public accounting firm that is located in a foreign jurisdiction and that the Public Company Accounting Oversight Board (PCAOB) has determined it is unable to inspect or investigate completely because of a position taken by an authority in that jurisdiction. </w:t>
      </w:r>
    </w:p>
    <w:p w:rsidR="00013BA3" w:rsidRPr="0067031B" w:rsidRDefault="00013BA3" w:rsidP="00013BA3">
      <w:pPr>
        <w:jc w:val="both"/>
        <w:rPr>
          <w:rFonts w:ascii="Palatino Linotype" w:eastAsia="Calibri" w:hAnsi="Palatino Linotype"/>
          <w:lang w:val="en-US" w:bidi="hi-IN"/>
        </w:rPr>
      </w:pPr>
    </w:p>
    <w:p w:rsidR="00013BA3" w:rsidRPr="0067031B" w:rsidRDefault="00013BA3" w:rsidP="00013BA3">
      <w:pPr>
        <w:jc w:val="both"/>
        <w:rPr>
          <w:rFonts w:ascii="Palatino Linotype" w:hAnsi="Palatino Linotype"/>
          <w:b/>
          <w:bCs/>
          <w:lang w:val="en-US" w:bidi="hi-IN"/>
        </w:rPr>
      </w:pPr>
      <w:r w:rsidRPr="0067031B">
        <w:rPr>
          <w:rFonts w:ascii="Palatino Linotype" w:hAnsi="Palatino Linotype"/>
          <w:b/>
          <w:bCs/>
          <w:lang w:val="en-US" w:bidi="hi-IN"/>
        </w:rPr>
        <w:t xml:space="preserve">3) </w:t>
      </w:r>
      <w:r w:rsidRPr="0067031B">
        <w:rPr>
          <w:rFonts w:ascii="Palatino Linotype" w:eastAsia="Calibri" w:hAnsi="Palatino Linotype"/>
          <w:b/>
          <w:bCs/>
          <w:lang w:val="en-US" w:bidi="hi-IN"/>
        </w:rPr>
        <w:t>Announcements on the end of LIBOR</w:t>
      </w:r>
    </w:p>
    <w:p w:rsidR="00013BA3" w:rsidRPr="0067031B" w:rsidRDefault="00013BA3" w:rsidP="00013BA3">
      <w:pPr>
        <w:jc w:val="both"/>
        <w:rPr>
          <w:rFonts w:ascii="Palatino Linotype" w:hAnsi="Palatino Linotype"/>
          <w:lang w:val="en-US" w:bidi="hi-IN"/>
        </w:rPr>
      </w:pPr>
    </w:p>
    <w:p w:rsidR="00013BA3" w:rsidRDefault="00013BA3" w:rsidP="00013BA3">
      <w:pPr>
        <w:jc w:val="both"/>
        <w:rPr>
          <w:rFonts w:ascii="Palatino Linotype" w:hAnsi="Palatino Linotype"/>
          <w:lang w:val="en-US" w:bidi="hi-IN"/>
        </w:rPr>
      </w:pPr>
      <w:r w:rsidRPr="0067031B">
        <w:rPr>
          <w:rFonts w:ascii="Palatino Linotype" w:eastAsia="Calibri" w:hAnsi="Palatino Linotype"/>
          <w:lang w:val="en-US" w:bidi="hi-IN"/>
        </w:rPr>
        <w:t xml:space="preserve">The FCA has </w:t>
      </w:r>
      <w:hyperlink r:id="rId46" w:history="1">
        <w:r w:rsidRPr="0067031B">
          <w:rPr>
            <w:rFonts w:ascii="Palatino Linotype" w:eastAsia="Calibri" w:hAnsi="Palatino Linotype"/>
            <w:lang w:val="en-US" w:bidi="hi-IN"/>
          </w:rPr>
          <w:t>confirmed</w:t>
        </w:r>
      </w:hyperlink>
      <w:r w:rsidRPr="0067031B">
        <w:rPr>
          <w:rFonts w:ascii="Palatino Linotype" w:eastAsia="Calibri" w:hAnsi="Palatino Linotype"/>
          <w:lang w:val="en-US" w:bidi="hi-IN"/>
        </w:rPr>
        <w:t xml:space="preserve"> that all LIBOR settings will either cease to be provided by any administrator or no longer be representative:</w:t>
      </w:r>
    </w:p>
    <w:p w:rsidR="00013BA3" w:rsidRPr="0067031B" w:rsidRDefault="00013BA3" w:rsidP="00013BA3">
      <w:pPr>
        <w:jc w:val="both"/>
        <w:rPr>
          <w:rFonts w:ascii="Palatino Linotype" w:eastAsia="Calibri" w:hAnsi="Palatino Linotype"/>
          <w:lang w:val="en-US" w:bidi="hi-IN"/>
        </w:rPr>
      </w:pPr>
    </w:p>
    <w:p w:rsidR="00013BA3" w:rsidRPr="0067031B" w:rsidRDefault="00013BA3" w:rsidP="00013BA3">
      <w:pPr>
        <w:jc w:val="both"/>
        <w:rPr>
          <w:rFonts w:ascii="Palatino Linotype" w:eastAsia="Calibri" w:hAnsi="Palatino Linotype"/>
          <w:lang w:val="en-US" w:bidi="hi-IN"/>
        </w:rPr>
      </w:pPr>
      <w:r w:rsidRPr="0067031B">
        <w:rPr>
          <w:rFonts w:ascii="Palatino Linotype" w:eastAsia="Calibri" w:hAnsi="Palatino Linotype"/>
          <w:lang w:val="en-US" w:bidi="hi-IN"/>
        </w:rPr>
        <w:t>immediately after 31 December 2021, in the case of all sterling, euro, Swiss franc and Japanese yen settings, and the 1-week and 2-month US dollar settings; and</w:t>
      </w:r>
    </w:p>
    <w:p w:rsidR="00013BA3" w:rsidRPr="0067031B" w:rsidRDefault="00013BA3" w:rsidP="00013BA3">
      <w:pPr>
        <w:jc w:val="both"/>
        <w:rPr>
          <w:rFonts w:ascii="Palatino Linotype" w:eastAsia="Calibri" w:hAnsi="Palatino Linotype"/>
          <w:lang w:val="en-US" w:bidi="hi-IN"/>
        </w:rPr>
      </w:pPr>
      <w:r w:rsidRPr="0067031B">
        <w:rPr>
          <w:rFonts w:ascii="Palatino Linotype" w:eastAsia="Calibri" w:hAnsi="Palatino Linotype"/>
          <w:lang w:val="en-US" w:bidi="hi-IN"/>
        </w:rPr>
        <w:t>immediately after 30 June 2023, in the case of the remaining US dollar settings</w:t>
      </w:r>
    </w:p>
    <w:p w:rsidR="00013BA3" w:rsidRPr="0067031B" w:rsidRDefault="00013BA3" w:rsidP="00013BA3">
      <w:pPr>
        <w:jc w:val="both"/>
        <w:rPr>
          <w:rFonts w:ascii="Palatino Linotype" w:hAnsi="Palatino Linotype"/>
          <w:lang w:val="en-US" w:bidi="hi-IN"/>
        </w:rPr>
      </w:pPr>
      <w:r w:rsidRPr="0067031B">
        <w:rPr>
          <w:rFonts w:ascii="Palatino Linotype" w:hAnsi="Palatino Linotype"/>
          <w:lang w:val="en-US" w:bidi="hi-IN"/>
        </w:rPr>
        <w:t>Publication of most of the LIBOR settings will cease immediately after these dates.</w:t>
      </w:r>
    </w:p>
    <w:p w:rsidR="00013BA3" w:rsidRPr="0067031B" w:rsidRDefault="00013BA3" w:rsidP="00013BA3">
      <w:pPr>
        <w:jc w:val="both"/>
        <w:rPr>
          <w:rFonts w:ascii="Palatino Linotype" w:hAnsi="Palatino Linotype"/>
          <w:lang w:val="en-US" w:bidi="hi-IN"/>
        </w:rPr>
      </w:pPr>
    </w:p>
    <w:p w:rsidR="00013BA3" w:rsidRPr="0067031B" w:rsidRDefault="00013BA3" w:rsidP="00013BA3">
      <w:pPr>
        <w:jc w:val="both"/>
        <w:rPr>
          <w:rFonts w:ascii="Palatino Linotype" w:hAnsi="Palatino Linotype"/>
          <w:b/>
          <w:bCs/>
          <w:lang w:val="en-US" w:bidi="hi-IN"/>
        </w:rPr>
      </w:pPr>
      <w:r w:rsidRPr="0067031B">
        <w:rPr>
          <w:rFonts w:ascii="Palatino Linotype" w:hAnsi="Palatino Linotype"/>
          <w:b/>
          <w:bCs/>
          <w:lang w:val="en-US" w:bidi="hi-IN"/>
        </w:rPr>
        <w:t>Source: https://www.fca.org.uk/news/press-releases/announcements-end-libor</w:t>
      </w:r>
    </w:p>
    <w:p w:rsidR="00013BA3" w:rsidRPr="0067031B" w:rsidRDefault="00013BA3" w:rsidP="00013BA3">
      <w:pPr>
        <w:jc w:val="both"/>
        <w:rPr>
          <w:rFonts w:ascii="Palatino Linotype" w:hAnsi="Palatino Linotype"/>
          <w:lang w:val="en-US" w:bidi="hi-IN"/>
        </w:rPr>
      </w:pPr>
    </w:p>
    <w:p w:rsidR="00013BA3" w:rsidRPr="0067031B" w:rsidRDefault="00013BA3" w:rsidP="00013BA3">
      <w:pPr>
        <w:jc w:val="both"/>
        <w:rPr>
          <w:rFonts w:ascii="Palatino Linotype" w:hAnsi="Palatino Linotype"/>
          <w:b/>
          <w:bCs/>
          <w:lang w:val="en-US" w:bidi="hi-IN"/>
        </w:rPr>
      </w:pPr>
      <w:r>
        <w:rPr>
          <w:rFonts w:ascii="Palatino Linotype" w:hAnsi="Palatino Linotype"/>
          <w:b/>
          <w:bCs/>
          <w:lang w:val="en-US" w:bidi="hi-IN"/>
        </w:rPr>
        <w:t>4</w:t>
      </w:r>
      <w:r w:rsidRPr="0067031B">
        <w:rPr>
          <w:rFonts w:ascii="Palatino Linotype" w:hAnsi="Palatino Linotype"/>
          <w:b/>
          <w:bCs/>
          <w:lang w:val="en-US" w:bidi="hi-IN"/>
        </w:rPr>
        <w:t>) IOSCO Reviews Implementation of Liquidity Risk Management Recommendations and Market Participants´ Responses to COVID-19 Induced Market Stresses</w:t>
      </w:r>
      <w:r w:rsidRPr="0067031B">
        <w:rPr>
          <w:rFonts w:ascii="Palatino Linotype" w:hAnsi="Palatino Linotype"/>
          <w:b/>
          <w:bCs/>
          <w:lang w:val="en-US" w:bidi="hi-IN"/>
        </w:rPr>
        <w:cr/>
      </w:r>
    </w:p>
    <w:p w:rsidR="00013BA3" w:rsidRPr="0067031B" w:rsidRDefault="00013BA3" w:rsidP="00013BA3">
      <w:pPr>
        <w:jc w:val="both"/>
        <w:rPr>
          <w:rFonts w:ascii="Palatino Linotype" w:hAnsi="Palatino Linotype"/>
          <w:lang w:val="en-US" w:bidi="hi-IN"/>
        </w:rPr>
      </w:pPr>
      <w:r w:rsidRPr="0067031B">
        <w:rPr>
          <w:rFonts w:ascii="Palatino Linotype" w:hAnsi="Palatino Linotype"/>
          <w:lang w:val="en-US" w:bidi="hi-IN"/>
        </w:rPr>
        <w:t>The International Organization of Securities Commissions (IOSCO) has launched its Thematic Review of the Recommendations for Liquidity Risk Management for Collective Investment Schemes issued by IOSCO in 2018.</w:t>
      </w:r>
    </w:p>
    <w:p w:rsidR="00013BA3" w:rsidRPr="0067031B" w:rsidRDefault="00013BA3" w:rsidP="00013BA3">
      <w:pPr>
        <w:jc w:val="both"/>
        <w:rPr>
          <w:rFonts w:ascii="Palatino Linotype" w:hAnsi="Palatino Linotype"/>
          <w:lang w:val="en-US" w:bidi="hi-IN"/>
        </w:rPr>
      </w:pPr>
    </w:p>
    <w:p w:rsidR="00013BA3" w:rsidRPr="0067031B" w:rsidRDefault="00013BA3" w:rsidP="00013BA3">
      <w:pPr>
        <w:jc w:val="both"/>
        <w:rPr>
          <w:rFonts w:ascii="Palatino Linotype" w:hAnsi="Palatino Linotype"/>
          <w:lang w:val="en-US" w:bidi="hi-IN"/>
        </w:rPr>
      </w:pPr>
      <w:r w:rsidRPr="0067031B">
        <w:rPr>
          <w:rFonts w:ascii="Palatino Linotype" w:hAnsi="Palatino Linotype"/>
          <w:lang w:val="en-US" w:bidi="hi-IN"/>
        </w:rPr>
        <w:t>The Recommendations are meant to ensure that liquidity risk is managed to safeguard and protect the interests of investors, including in stressed market conditions. They are also designed to address potential structural vulnerabilities in the asset management sector that could impact financial stability.</w:t>
      </w:r>
    </w:p>
    <w:p w:rsidR="00013BA3" w:rsidRPr="0067031B" w:rsidRDefault="00013BA3" w:rsidP="00013BA3">
      <w:pPr>
        <w:jc w:val="both"/>
        <w:rPr>
          <w:rFonts w:ascii="Palatino Linotype" w:hAnsi="Palatino Linotype"/>
          <w:lang w:val="en-US" w:bidi="hi-IN"/>
        </w:rPr>
      </w:pPr>
    </w:p>
    <w:p w:rsidR="00013BA3" w:rsidRPr="0067031B" w:rsidRDefault="00013BA3" w:rsidP="00013BA3">
      <w:pPr>
        <w:jc w:val="both"/>
        <w:rPr>
          <w:rFonts w:ascii="Palatino Linotype" w:hAnsi="Palatino Linotype"/>
          <w:lang w:val="en-US" w:bidi="hi-IN"/>
        </w:rPr>
      </w:pPr>
      <w:r w:rsidRPr="0067031B">
        <w:rPr>
          <w:rFonts w:ascii="Palatino Linotype" w:hAnsi="Palatino Linotype"/>
          <w:lang w:val="en-US" w:bidi="hi-IN"/>
        </w:rPr>
        <w:t xml:space="preserve"> </w:t>
      </w:r>
      <w:r w:rsidRPr="0067031B">
        <w:rPr>
          <w:rFonts w:ascii="Palatino Linotype" w:hAnsi="Palatino Linotype"/>
          <w:lang w:val="en-US" w:bidi="hi-IN"/>
        </w:rPr>
        <w:tab/>
      </w:r>
      <w:r w:rsidRPr="0067031B">
        <w:rPr>
          <w:rFonts w:ascii="Palatino Linotype" w:hAnsi="Palatino Linotype"/>
          <w:lang w:val="en-US" w:bidi="hi-IN"/>
        </w:rPr>
        <w:tab/>
      </w:r>
    </w:p>
    <w:p w:rsidR="00013BA3" w:rsidRPr="0067031B" w:rsidRDefault="00013BA3" w:rsidP="00013BA3">
      <w:pPr>
        <w:jc w:val="both"/>
        <w:rPr>
          <w:rFonts w:ascii="Palatino Linotype" w:hAnsi="Palatino Linotype"/>
          <w:b/>
          <w:bCs/>
          <w:lang w:val="en-US" w:bidi="hi-IN"/>
        </w:rPr>
      </w:pPr>
      <w:r w:rsidRPr="0067031B">
        <w:rPr>
          <w:rFonts w:ascii="Palatino Linotype" w:hAnsi="Palatino Linotype"/>
          <w:b/>
          <w:bCs/>
          <w:lang w:val="en-US" w:bidi="hi-IN"/>
        </w:rPr>
        <w:t>Source: https://www.iosco.org/news/pdf/IOSCONEWS597.pdf</w:t>
      </w:r>
    </w:p>
    <w:p w:rsidR="00932FDF" w:rsidRDefault="00932FDF" w:rsidP="00272724">
      <w:pPr>
        <w:rPr>
          <w:rFonts w:ascii="Palatino Linotype" w:hAnsi="Palatino Linotype"/>
          <w:b/>
          <w:sz w:val="22"/>
          <w:szCs w:val="22"/>
        </w:rPr>
      </w:pPr>
    </w:p>
    <w:p w:rsidR="006F730C" w:rsidRDefault="006F730C" w:rsidP="00272724">
      <w:pPr>
        <w:rPr>
          <w:rFonts w:ascii="Palatino Linotype" w:hAnsi="Palatino Linotype"/>
          <w:b/>
          <w:sz w:val="22"/>
          <w:szCs w:val="22"/>
        </w:rPr>
      </w:pPr>
    </w:p>
    <w:p w:rsidR="006F730C" w:rsidRDefault="006F730C" w:rsidP="00272724">
      <w:pPr>
        <w:rPr>
          <w:rFonts w:ascii="Palatino Linotype" w:hAnsi="Palatino Linotype"/>
          <w:b/>
          <w:sz w:val="22"/>
          <w:szCs w:val="22"/>
        </w:rPr>
      </w:pPr>
    </w:p>
    <w:p w:rsidR="006F730C" w:rsidRDefault="006F730C" w:rsidP="00272724">
      <w:pPr>
        <w:rPr>
          <w:rFonts w:ascii="Palatino Linotype" w:hAnsi="Palatino Linotype"/>
          <w:b/>
          <w:sz w:val="22"/>
          <w:szCs w:val="22"/>
        </w:rPr>
      </w:pPr>
    </w:p>
    <w:p w:rsidR="00272724" w:rsidRPr="004752BB" w:rsidRDefault="00272724" w:rsidP="00272724">
      <w:pPr>
        <w:jc w:val="center"/>
        <w:rPr>
          <w:rFonts w:ascii="Palatino Linotype" w:hAnsi="Palatino Linotype" w:cs="Calibri"/>
          <w:b/>
          <w:sz w:val="28"/>
          <w:szCs w:val="28"/>
        </w:rPr>
      </w:pPr>
      <w:r w:rsidRPr="004752BB">
        <w:rPr>
          <w:rFonts w:ascii="Palatino Linotype" w:hAnsi="Palatino Linotype" w:cs="Calibri"/>
          <w:b/>
          <w:sz w:val="28"/>
          <w:szCs w:val="28"/>
        </w:rPr>
        <w:t>POLICY DEVELOPMENTS AT SEBI</w:t>
      </w:r>
    </w:p>
    <w:p w:rsidR="00272724" w:rsidRDefault="00272724" w:rsidP="00272724">
      <w:pPr>
        <w:shd w:val="clear" w:color="auto" w:fill="FFFFFF"/>
        <w:spacing w:line="276" w:lineRule="auto"/>
        <w:jc w:val="both"/>
        <w:rPr>
          <w:rFonts w:ascii="Palatino Linotype" w:hAnsi="Palatino Linotype"/>
          <w:color w:val="000000"/>
        </w:rPr>
      </w:pPr>
    </w:p>
    <w:p w:rsidR="00284E34" w:rsidRPr="00D20404" w:rsidRDefault="00284E34" w:rsidP="00284E34">
      <w:pPr>
        <w:pStyle w:val="Default"/>
        <w:jc w:val="both"/>
        <w:rPr>
          <w:rFonts w:ascii="Palatino Linotype" w:hAnsi="Palatino Linotype" w:cs="Times New Roman"/>
          <w:b/>
        </w:rPr>
      </w:pPr>
      <w:r>
        <w:rPr>
          <w:rFonts w:ascii="Palatino Linotype" w:hAnsi="Palatino Linotype" w:cs="Times New Roman"/>
          <w:b/>
        </w:rPr>
        <w:t xml:space="preserve">1. </w:t>
      </w:r>
      <w:r w:rsidRPr="00D20404">
        <w:rPr>
          <w:rFonts w:ascii="Palatino Linotype" w:hAnsi="Palatino Linotype" w:cs="Times New Roman"/>
          <w:b/>
        </w:rPr>
        <w:t xml:space="preserve">Code of Conduct &amp; Institutional </w:t>
      </w:r>
      <w:r>
        <w:rPr>
          <w:rFonts w:ascii="Palatino Linotype" w:hAnsi="Palatino Linotype" w:cs="Times New Roman"/>
          <w:b/>
        </w:rPr>
        <w:t>M</w:t>
      </w:r>
      <w:r w:rsidRPr="00D20404">
        <w:rPr>
          <w:rFonts w:ascii="Palatino Linotype" w:hAnsi="Palatino Linotype" w:cs="Times New Roman"/>
          <w:b/>
        </w:rPr>
        <w:t xml:space="preserve">echanism for </w:t>
      </w:r>
      <w:r>
        <w:rPr>
          <w:rFonts w:ascii="Palatino Linotype" w:hAnsi="Palatino Linotype" w:cs="Times New Roman"/>
          <w:b/>
        </w:rPr>
        <w:t>P</w:t>
      </w:r>
      <w:r w:rsidRPr="00D20404">
        <w:rPr>
          <w:rFonts w:ascii="Palatino Linotype" w:hAnsi="Palatino Linotype" w:cs="Times New Roman"/>
          <w:b/>
        </w:rPr>
        <w:t>revention of Fraud or Market Abuse</w:t>
      </w:r>
    </w:p>
    <w:p w:rsidR="00284E34" w:rsidRPr="00D20404" w:rsidRDefault="00284E34" w:rsidP="00284E34">
      <w:pPr>
        <w:pStyle w:val="Default"/>
        <w:jc w:val="both"/>
        <w:rPr>
          <w:rFonts w:ascii="Palatino Linotype" w:hAnsi="Palatino Linotype" w:cs="Times New Roman"/>
          <w:bCs/>
        </w:rPr>
      </w:pPr>
    </w:p>
    <w:p w:rsidR="00284E34" w:rsidRPr="00EC74E9" w:rsidRDefault="00284E34" w:rsidP="00284E34">
      <w:pPr>
        <w:shd w:val="clear" w:color="auto" w:fill="FFFFFF"/>
        <w:jc w:val="both"/>
        <w:rPr>
          <w:rFonts w:ascii="Arial" w:eastAsia="Times New Roman" w:hAnsi="Arial" w:cs="Arial"/>
          <w:sz w:val="23"/>
          <w:szCs w:val="23"/>
          <w:lang w:val="en-IN" w:eastAsia="en-IN"/>
        </w:rPr>
      </w:pPr>
      <w:r w:rsidRPr="00D20404">
        <w:rPr>
          <w:rFonts w:ascii="Palatino Linotype" w:hAnsi="Palatino Linotype"/>
          <w:bCs/>
        </w:rPr>
        <w:t>Pursuant to the report of Fair Market Conduct Committee set up inter-alia to recommend appropriate institutional mechanism to ensure accountability of the management / designated persons in case of negligence / failure, necessary changes have been notified in SEBI (Prohibition of Insider trading) Regulations, 2015.  In line with these changes, it has been decided that the code of conduct and institutional mechanism for prevention of fraud or market abuse shall be applicable to stock exchanges, clearing corporations, and depositories (MIIs)</w:t>
      </w:r>
      <w:r>
        <w:rPr>
          <w:rFonts w:ascii="Palatino Linotype" w:hAnsi="Palatino Linotype"/>
          <w:bCs/>
        </w:rPr>
        <w:t xml:space="preserve"> </w:t>
      </w:r>
      <w:r w:rsidRPr="00EC74E9">
        <w:rPr>
          <w:rFonts w:ascii="Arial" w:eastAsia="Times New Roman" w:hAnsi="Arial" w:cs="Arial"/>
          <w:sz w:val="23"/>
          <w:szCs w:val="23"/>
          <w:lang w:val="en-IN" w:eastAsia="en-IN"/>
        </w:rPr>
        <w:t>on the lines of Regulation 9(1) to 9(4) of PIT Regulation</w:t>
      </w:r>
      <w:r>
        <w:rPr>
          <w:rFonts w:ascii="Arial" w:eastAsia="Times New Roman" w:hAnsi="Arial" w:cs="Arial"/>
          <w:sz w:val="23"/>
          <w:szCs w:val="23"/>
          <w:lang w:val="en-IN" w:eastAsia="en-IN"/>
        </w:rPr>
        <w:t>s.</w:t>
      </w:r>
    </w:p>
    <w:p w:rsidR="00284E34" w:rsidRPr="00D20404" w:rsidRDefault="00013BA3" w:rsidP="00284E34">
      <w:pPr>
        <w:pStyle w:val="Default"/>
        <w:jc w:val="both"/>
        <w:rPr>
          <w:rFonts w:ascii="Palatino Linotype" w:hAnsi="Palatino Linotype" w:cs="Times New Roman"/>
          <w:bCs/>
        </w:rPr>
      </w:pPr>
      <w:r>
        <w:rPr>
          <w:rFonts w:ascii="Palatino Linotype" w:hAnsi="Palatino Linotype" w:cs="Times New Roman"/>
          <w:bCs/>
        </w:rPr>
        <w:t>.</w:t>
      </w:r>
    </w:p>
    <w:p w:rsidR="00284E34" w:rsidRPr="00D20404" w:rsidRDefault="00284E34" w:rsidP="00284E34">
      <w:pPr>
        <w:pStyle w:val="Default"/>
        <w:jc w:val="both"/>
        <w:rPr>
          <w:rFonts w:ascii="Palatino Linotype" w:hAnsi="Palatino Linotype" w:cs="Times New Roman"/>
          <w:bCs/>
          <w:i/>
          <w:iCs/>
        </w:rPr>
      </w:pPr>
      <w:r w:rsidRPr="00D20404">
        <w:rPr>
          <w:rFonts w:ascii="Palatino Linotype" w:hAnsi="Palatino Linotype" w:cs="Times New Roman"/>
          <w:bCs/>
          <w:i/>
          <w:iCs/>
        </w:rPr>
        <w:t>Source - SEBI/HO/MRD/DCAP/CIR/P/2021/23 dated March 03, 2021</w:t>
      </w:r>
    </w:p>
    <w:p w:rsidR="00284E34" w:rsidRPr="00D20404" w:rsidRDefault="00284E34" w:rsidP="00284E34">
      <w:pPr>
        <w:pStyle w:val="Default"/>
        <w:jc w:val="both"/>
        <w:rPr>
          <w:rFonts w:ascii="Palatino Linotype" w:hAnsi="Palatino Linotype" w:cs="Times New Roman"/>
          <w:bCs/>
          <w:i/>
          <w:iCs/>
        </w:rPr>
      </w:pPr>
    </w:p>
    <w:p w:rsidR="00284E34" w:rsidRPr="00D20404" w:rsidRDefault="00284E34" w:rsidP="00284E34">
      <w:pPr>
        <w:pStyle w:val="Default"/>
        <w:jc w:val="both"/>
        <w:rPr>
          <w:rFonts w:ascii="Palatino Linotype" w:hAnsi="Palatino Linotype" w:cs="Times New Roman"/>
          <w:b/>
        </w:rPr>
      </w:pPr>
      <w:r>
        <w:rPr>
          <w:rFonts w:ascii="Palatino Linotype" w:hAnsi="Palatino Linotype" w:cs="Times New Roman"/>
          <w:b/>
        </w:rPr>
        <w:t xml:space="preserve">2. </w:t>
      </w:r>
      <w:r w:rsidRPr="00D20404">
        <w:rPr>
          <w:rFonts w:ascii="Palatino Linotype" w:hAnsi="Palatino Linotype" w:cs="Times New Roman"/>
          <w:b/>
        </w:rPr>
        <w:t>Circular on Mutual Funds</w:t>
      </w:r>
    </w:p>
    <w:p w:rsidR="00284E34" w:rsidRPr="00D20404" w:rsidRDefault="00284E34" w:rsidP="00284E34">
      <w:pPr>
        <w:pStyle w:val="Default"/>
        <w:jc w:val="both"/>
        <w:rPr>
          <w:rFonts w:ascii="Palatino Linotype" w:hAnsi="Palatino Linotype" w:cs="Times New Roman"/>
          <w:bCs/>
        </w:rPr>
      </w:pPr>
    </w:p>
    <w:p w:rsidR="00284E34" w:rsidRPr="0045686E" w:rsidRDefault="00284E34" w:rsidP="00284E34">
      <w:pPr>
        <w:shd w:val="clear" w:color="auto" w:fill="FFFFFF"/>
        <w:jc w:val="both"/>
        <w:rPr>
          <w:rFonts w:ascii="Arial" w:eastAsia="Times New Roman" w:hAnsi="Arial" w:cs="Arial"/>
          <w:sz w:val="23"/>
          <w:szCs w:val="23"/>
          <w:lang w:val="en-IN" w:eastAsia="en-IN"/>
        </w:rPr>
      </w:pPr>
      <w:r>
        <w:rPr>
          <w:rFonts w:ascii="Palatino Linotype" w:hAnsi="Palatino Linotype"/>
          <w:bCs/>
        </w:rPr>
        <w:t xml:space="preserve">Amendments to SEBI Mutual Fund Regulations were notified vide </w:t>
      </w:r>
      <w:r w:rsidRPr="00FE595D">
        <w:rPr>
          <w:rFonts w:ascii="Palatino Linotype" w:hAnsi="Palatino Linotype"/>
          <w:bCs/>
        </w:rPr>
        <w:t>Gazette  notification  no.  SEBI/LAD-NRO/GN/2021/08  dated  February  04,  2021</w:t>
      </w:r>
      <w:r>
        <w:rPr>
          <w:rFonts w:ascii="Palatino Linotype" w:hAnsi="Palatino Linotype"/>
          <w:bCs/>
        </w:rPr>
        <w:t xml:space="preserve">. </w:t>
      </w:r>
      <w:r w:rsidRPr="00EC74E9">
        <w:rPr>
          <w:rFonts w:ascii="Arial" w:eastAsia="Times New Roman" w:hAnsi="Arial" w:cs="Arial"/>
          <w:sz w:val="23"/>
          <w:szCs w:val="23"/>
          <w:lang w:val="en-IN" w:eastAsia="en-IN"/>
        </w:rPr>
        <w:t>With</w:t>
      </w:r>
      <w:r>
        <w:rPr>
          <w:rFonts w:ascii="Arial" w:eastAsia="Times New Roman" w:hAnsi="Arial" w:cs="Arial"/>
          <w:sz w:val="23"/>
          <w:szCs w:val="23"/>
          <w:lang w:val="en-IN" w:eastAsia="en-IN"/>
        </w:rPr>
        <w:t xml:space="preserve"> </w:t>
      </w:r>
      <w:r w:rsidRPr="00EC74E9">
        <w:rPr>
          <w:rFonts w:ascii="Arial" w:eastAsia="Times New Roman" w:hAnsi="Arial" w:cs="Arial"/>
          <w:sz w:val="23"/>
          <w:szCs w:val="23"/>
          <w:lang w:val="en-IN" w:eastAsia="en-IN"/>
        </w:rPr>
        <w:t>respect to proposals relating to modifications</w:t>
      </w:r>
      <w:r>
        <w:rPr>
          <w:rFonts w:ascii="Arial" w:eastAsia="Times New Roman" w:hAnsi="Arial" w:cs="Arial"/>
          <w:sz w:val="23"/>
          <w:szCs w:val="23"/>
          <w:lang w:val="en-IN" w:eastAsia="en-IN"/>
        </w:rPr>
        <w:t xml:space="preserve"> </w:t>
      </w:r>
      <w:r w:rsidRPr="00EC74E9">
        <w:rPr>
          <w:rFonts w:ascii="Arial" w:eastAsia="Times New Roman" w:hAnsi="Arial" w:cs="Arial"/>
          <w:sz w:val="23"/>
          <w:szCs w:val="23"/>
          <w:lang w:val="en-IN" w:eastAsia="en-IN"/>
        </w:rPr>
        <w:t>in</w:t>
      </w:r>
      <w:r>
        <w:rPr>
          <w:rFonts w:ascii="Arial" w:eastAsia="Times New Roman" w:hAnsi="Arial" w:cs="Arial"/>
          <w:sz w:val="23"/>
          <w:szCs w:val="23"/>
          <w:lang w:val="en-IN" w:eastAsia="en-IN"/>
        </w:rPr>
        <w:t xml:space="preserve"> </w:t>
      </w:r>
      <w:r w:rsidRPr="00EC74E9">
        <w:rPr>
          <w:rFonts w:ascii="Arial" w:eastAsia="Times New Roman" w:hAnsi="Arial" w:cs="Arial"/>
          <w:sz w:val="23"/>
          <w:szCs w:val="23"/>
          <w:lang w:val="en-IN" w:eastAsia="en-IN"/>
        </w:rPr>
        <w:t>various circulars issued under</w:t>
      </w:r>
      <w:r>
        <w:rPr>
          <w:rFonts w:ascii="Arial" w:eastAsia="Times New Roman" w:hAnsi="Arial" w:cs="Arial"/>
          <w:sz w:val="23"/>
          <w:szCs w:val="23"/>
          <w:lang w:val="en-IN" w:eastAsia="en-IN"/>
        </w:rPr>
        <w:t xml:space="preserve"> Mutual Fund</w:t>
      </w:r>
      <w:r w:rsidRPr="00EC74E9">
        <w:rPr>
          <w:rFonts w:ascii="Arial" w:eastAsia="Times New Roman" w:hAnsi="Arial" w:cs="Arial"/>
          <w:sz w:val="23"/>
          <w:szCs w:val="23"/>
          <w:lang w:val="en-IN" w:eastAsia="en-IN"/>
        </w:rPr>
        <w:t xml:space="preserve"> Regulations</w:t>
      </w:r>
      <w:r>
        <w:rPr>
          <w:rFonts w:ascii="Palatino Linotype" w:hAnsi="Palatino Linotype"/>
          <w:bCs/>
        </w:rPr>
        <w:t>, modifications were made in gross ex</w:t>
      </w:r>
      <w:r w:rsidR="00013BA3">
        <w:rPr>
          <w:rFonts w:ascii="Palatino Linotype" w:hAnsi="Palatino Linotype"/>
          <w:bCs/>
        </w:rPr>
        <w:t>p</w:t>
      </w:r>
      <w:r>
        <w:rPr>
          <w:rFonts w:ascii="Palatino Linotype" w:hAnsi="Palatino Linotype"/>
          <w:bCs/>
        </w:rPr>
        <w:t>osure Limits for mutual fund schemes, investment patterns of the schemes, p</w:t>
      </w:r>
      <w:r w:rsidRPr="00FE595D">
        <w:rPr>
          <w:rFonts w:ascii="Palatino Linotype" w:hAnsi="Palatino Linotype"/>
          <w:bCs/>
        </w:rPr>
        <w:t xml:space="preserve">rocedure for </w:t>
      </w:r>
      <w:r>
        <w:rPr>
          <w:rFonts w:ascii="Palatino Linotype" w:hAnsi="Palatino Linotype"/>
          <w:bCs/>
        </w:rPr>
        <w:t>c</w:t>
      </w:r>
      <w:r w:rsidRPr="00FE595D">
        <w:rPr>
          <w:rFonts w:ascii="Palatino Linotype" w:hAnsi="Palatino Linotype"/>
          <w:bCs/>
        </w:rPr>
        <w:t xml:space="preserve">hange in </w:t>
      </w:r>
      <w:r>
        <w:rPr>
          <w:rFonts w:ascii="Palatino Linotype" w:hAnsi="Palatino Linotype"/>
          <w:bCs/>
        </w:rPr>
        <w:t>c</w:t>
      </w:r>
      <w:r w:rsidRPr="00FE595D">
        <w:rPr>
          <w:rFonts w:ascii="Palatino Linotype" w:hAnsi="Palatino Linotype"/>
          <w:bCs/>
        </w:rPr>
        <w:t>ontrol of AMC</w:t>
      </w:r>
      <w:r>
        <w:rPr>
          <w:rFonts w:ascii="Palatino Linotype" w:hAnsi="Palatino Linotype"/>
          <w:bCs/>
        </w:rPr>
        <w:t xml:space="preserve">, </w:t>
      </w:r>
      <w:r w:rsidRPr="00FE595D">
        <w:rPr>
          <w:rFonts w:ascii="Palatino Linotype" w:hAnsi="Palatino Linotype"/>
          <w:bCs/>
        </w:rPr>
        <w:t>Go Green Initiatives</w:t>
      </w:r>
      <w:r>
        <w:rPr>
          <w:rFonts w:ascii="Palatino Linotype" w:hAnsi="Palatino Linotype"/>
          <w:bCs/>
        </w:rPr>
        <w:t>, f</w:t>
      </w:r>
      <w:r w:rsidRPr="00FE595D">
        <w:rPr>
          <w:rFonts w:ascii="Palatino Linotype" w:hAnsi="Palatino Linotype"/>
          <w:bCs/>
        </w:rPr>
        <w:t>iling of</w:t>
      </w:r>
      <w:r w:rsidR="00013BA3">
        <w:rPr>
          <w:rFonts w:ascii="Palatino Linotype" w:hAnsi="Palatino Linotype"/>
          <w:bCs/>
        </w:rPr>
        <w:t xml:space="preserve"> </w:t>
      </w:r>
      <w:r w:rsidRPr="00FE595D">
        <w:rPr>
          <w:rFonts w:ascii="Palatino Linotype" w:hAnsi="Palatino Linotype"/>
          <w:bCs/>
        </w:rPr>
        <w:t xml:space="preserve">Annual Information Return (AIR) by </w:t>
      </w:r>
      <w:r>
        <w:rPr>
          <w:rFonts w:ascii="Palatino Linotype" w:hAnsi="Palatino Linotype"/>
          <w:bCs/>
        </w:rPr>
        <w:t>m</w:t>
      </w:r>
      <w:r w:rsidRPr="00FE595D">
        <w:rPr>
          <w:rFonts w:ascii="Palatino Linotype" w:hAnsi="Palatino Linotype"/>
          <w:bCs/>
        </w:rPr>
        <w:t xml:space="preserve">utual </w:t>
      </w:r>
      <w:r>
        <w:rPr>
          <w:rFonts w:ascii="Palatino Linotype" w:hAnsi="Palatino Linotype"/>
          <w:bCs/>
        </w:rPr>
        <w:t>f</w:t>
      </w:r>
      <w:r w:rsidRPr="00FE595D">
        <w:rPr>
          <w:rFonts w:ascii="Palatino Linotype" w:hAnsi="Palatino Linotype"/>
          <w:bCs/>
        </w:rPr>
        <w:t>unds</w:t>
      </w:r>
      <w:r>
        <w:rPr>
          <w:rFonts w:ascii="Palatino Linotype" w:hAnsi="Palatino Linotype"/>
          <w:bCs/>
        </w:rPr>
        <w:t>, i</w:t>
      </w:r>
      <w:r w:rsidRPr="00FE595D">
        <w:rPr>
          <w:rFonts w:ascii="Palatino Linotype" w:hAnsi="Palatino Linotype"/>
          <w:bCs/>
        </w:rPr>
        <w:t xml:space="preserve">nvestment  in  securities  by  employees  of  AMC(s)  and  </w:t>
      </w:r>
      <w:r>
        <w:rPr>
          <w:rFonts w:ascii="Palatino Linotype" w:hAnsi="Palatino Linotype"/>
          <w:bCs/>
        </w:rPr>
        <w:t>t</w:t>
      </w:r>
      <w:r w:rsidRPr="00FE595D">
        <w:rPr>
          <w:rFonts w:ascii="Palatino Linotype" w:hAnsi="Palatino Linotype"/>
          <w:bCs/>
        </w:rPr>
        <w:t xml:space="preserve">rustees  of  </w:t>
      </w:r>
      <w:r>
        <w:rPr>
          <w:rFonts w:ascii="Palatino Linotype" w:hAnsi="Palatino Linotype"/>
          <w:bCs/>
        </w:rPr>
        <w:t>m</w:t>
      </w:r>
      <w:r w:rsidRPr="00FE595D">
        <w:rPr>
          <w:rFonts w:ascii="Palatino Linotype" w:hAnsi="Palatino Linotype"/>
          <w:bCs/>
        </w:rPr>
        <w:t xml:space="preserve">utual </w:t>
      </w:r>
      <w:r>
        <w:rPr>
          <w:rFonts w:ascii="Palatino Linotype" w:hAnsi="Palatino Linotype"/>
          <w:bCs/>
        </w:rPr>
        <w:t>f</w:t>
      </w:r>
      <w:r w:rsidRPr="00FE595D">
        <w:rPr>
          <w:rFonts w:ascii="Palatino Linotype" w:hAnsi="Palatino Linotype"/>
          <w:bCs/>
        </w:rPr>
        <w:t>unds</w:t>
      </w:r>
      <w:r>
        <w:rPr>
          <w:rFonts w:ascii="Palatino Linotype" w:hAnsi="Palatino Linotype"/>
          <w:bCs/>
        </w:rPr>
        <w:t>, a</w:t>
      </w:r>
      <w:r w:rsidRPr="00FE595D">
        <w:rPr>
          <w:rFonts w:ascii="Palatino Linotype" w:hAnsi="Palatino Linotype"/>
          <w:bCs/>
        </w:rPr>
        <w:t>dvertisement</w:t>
      </w:r>
      <w:r>
        <w:rPr>
          <w:rFonts w:ascii="Palatino Linotype" w:hAnsi="Palatino Linotype"/>
          <w:bCs/>
        </w:rPr>
        <w:t>, d</w:t>
      </w:r>
      <w:r w:rsidRPr="00FE595D">
        <w:rPr>
          <w:rFonts w:ascii="Palatino Linotype" w:hAnsi="Palatino Linotype"/>
          <w:bCs/>
        </w:rPr>
        <w:t>isclosure of performance of mutual fund schemes</w:t>
      </w:r>
      <w:r>
        <w:rPr>
          <w:rFonts w:ascii="Palatino Linotype" w:hAnsi="Palatino Linotype"/>
          <w:bCs/>
        </w:rPr>
        <w:t>, u</w:t>
      </w:r>
      <w:r w:rsidRPr="00FE595D">
        <w:rPr>
          <w:rFonts w:ascii="Palatino Linotype" w:hAnsi="Palatino Linotype"/>
          <w:bCs/>
        </w:rPr>
        <w:t xml:space="preserve">ndertaking from </w:t>
      </w:r>
      <w:r>
        <w:rPr>
          <w:rFonts w:ascii="Palatino Linotype" w:hAnsi="Palatino Linotype"/>
          <w:bCs/>
        </w:rPr>
        <w:t>t</w:t>
      </w:r>
      <w:r w:rsidRPr="00FE595D">
        <w:rPr>
          <w:rFonts w:ascii="Palatino Linotype" w:hAnsi="Palatino Linotype"/>
          <w:bCs/>
        </w:rPr>
        <w:t xml:space="preserve">rustees for new </w:t>
      </w:r>
      <w:r>
        <w:rPr>
          <w:rFonts w:ascii="Palatino Linotype" w:hAnsi="Palatino Linotype"/>
          <w:bCs/>
        </w:rPr>
        <w:t>s</w:t>
      </w:r>
      <w:r w:rsidRPr="00FE595D">
        <w:rPr>
          <w:rFonts w:ascii="Palatino Linotype" w:hAnsi="Palatino Linotype"/>
          <w:bCs/>
        </w:rPr>
        <w:t xml:space="preserve">cheme </w:t>
      </w:r>
      <w:r>
        <w:rPr>
          <w:rFonts w:ascii="Palatino Linotype" w:hAnsi="Palatino Linotype"/>
          <w:bCs/>
        </w:rPr>
        <w:t>o</w:t>
      </w:r>
      <w:r w:rsidRPr="00FE595D">
        <w:rPr>
          <w:rFonts w:ascii="Palatino Linotype" w:hAnsi="Palatino Linotype"/>
          <w:bCs/>
        </w:rPr>
        <w:t xml:space="preserve">ffer </w:t>
      </w:r>
      <w:r>
        <w:rPr>
          <w:rFonts w:ascii="Palatino Linotype" w:hAnsi="Palatino Linotype"/>
          <w:bCs/>
        </w:rPr>
        <w:t>d</w:t>
      </w:r>
      <w:r w:rsidRPr="00FE595D">
        <w:rPr>
          <w:rFonts w:ascii="Palatino Linotype" w:hAnsi="Palatino Linotype"/>
          <w:bCs/>
        </w:rPr>
        <w:t>ocument</w:t>
      </w:r>
      <w:r>
        <w:rPr>
          <w:rFonts w:ascii="Palatino Linotype" w:hAnsi="Palatino Linotype"/>
          <w:bCs/>
        </w:rPr>
        <w:t>, k</w:t>
      </w:r>
      <w:r w:rsidRPr="00FE595D">
        <w:rPr>
          <w:rFonts w:ascii="Palatino Linotype" w:hAnsi="Palatino Linotype"/>
          <w:bCs/>
        </w:rPr>
        <w:t xml:space="preserve">ey </w:t>
      </w:r>
      <w:r>
        <w:rPr>
          <w:rFonts w:ascii="Palatino Linotype" w:hAnsi="Palatino Linotype"/>
          <w:bCs/>
        </w:rPr>
        <w:t>p</w:t>
      </w:r>
      <w:r w:rsidRPr="00FE595D">
        <w:rPr>
          <w:rFonts w:ascii="Palatino Linotype" w:hAnsi="Palatino Linotype"/>
          <w:bCs/>
        </w:rPr>
        <w:t>ersonnel of the AMC</w:t>
      </w:r>
      <w:r>
        <w:rPr>
          <w:rFonts w:ascii="Palatino Linotype" w:hAnsi="Palatino Linotype"/>
          <w:bCs/>
        </w:rPr>
        <w:t xml:space="preserve"> etc.</w:t>
      </w:r>
    </w:p>
    <w:p w:rsidR="00284E34" w:rsidRPr="00D20404" w:rsidRDefault="00284E34" w:rsidP="00284E34">
      <w:pPr>
        <w:pStyle w:val="Default"/>
        <w:jc w:val="both"/>
        <w:rPr>
          <w:rFonts w:ascii="Palatino Linotype" w:hAnsi="Palatino Linotype" w:cs="Times New Roman"/>
          <w:bCs/>
        </w:rPr>
      </w:pPr>
    </w:p>
    <w:p w:rsidR="00284E34" w:rsidRPr="00D20404" w:rsidRDefault="00284E34" w:rsidP="00284E34">
      <w:pPr>
        <w:pStyle w:val="Default"/>
        <w:jc w:val="both"/>
        <w:rPr>
          <w:rFonts w:ascii="Palatino Linotype" w:hAnsi="Palatino Linotype" w:cs="Times New Roman"/>
          <w:bCs/>
          <w:i/>
          <w:iCs/>
        </w:rPr>
      </w:pPr>
      <w:r w:rsidRPr="00D20404">
        <w:rPr>
          <w:rFonts w:ascii="Palatino Linotype" w:hAnsi="Palatino Linotype" w:cs="Times New Roman"/>
          <w:bCs/>
          <w:i/>
          <w:iCs/>
        </w:rPr>
        <w:t>Source - SEBI/HO/IMD/DF2/CIR/P/2021/024 dated March 04, 2021</w:t>
      </w:r>
    </w:p>
    <w:p w:rsidR="00284E34" w:rsidRPr="00D20404" w:rsidRDefault="00284E34" w:rsidP="00284E34">
      <w:pPr>
        <w:pStyle w:val="Default"/>
        <w:ind w:left="360"/>
        <w:jc w:val="both"/>
        <w:rPr>
          <w:rFonts w:ascii="Palatino Linotype" w:hAnsi="Palatino Linotype" w:cs="Times New Roman"/>
          <w:bCs/>
          <w:i/>
          <w:iCs/>
        </w:rPr>
      </w:pPr>
    </w:p>
    <w:p w:rsidR="00284E34" w:rsidRDefault="00284E34" w:rsidP="00284E34">
      <w:pPr>
        <w:pStyle w:val="Default"/>
        <w:tabs>
          <w:tab w:val="left" w:pos="1170"/>
        </w:tabs>
        <w:jc w:val="both"/>
        <w:rPr>
          <w:rFonts w:ascii="Palatino Linotype" w:hAnsi="Palatino Linotype" w:cs="Times New Roman"/>
          <w:b/>
          <w:iCs/>
        </w:rPr>
      </w:pPr>
      <w:r>
        <w:rPr>
          <w:rFonts w:ascii="Palatino Linotype" w:hAnsi="Palatino Linotype" w:cs="Times New Roman"/>
          <w:b/>
          <w:iCs/>
        </w:rPr>
        <w:t xml:space="preserve">3.  </w:t>
      </w:r>
      <w:r w:rsidRPr="00D20404">
        <w:rPr>
          <w:rFonts w:ascii="Palatino Linotype" w:hAnsi="Palatino Linotype" w:cs="Times New Roman"/>
          <w:b/>
          <w:iCs/>
        </w:rPr>
        <w:t xml:space="preserve">Guidelines for </w:t>
      </w:r>
      <w:r>
        <w:rPr>
          <w:rFonts w:ascii="Palatino Linotype" w:hAnsi="Palatino Linotype" w:cs="Times New Roman"/>
          <w:b/>
          <w:iCs/>
        </w:rPr>
        <w:t>V</w:t>
      </w:r>
      <w:r w:rsidRPr="00D20404">
        <w:rPr>
          <w:rFonts w:ascii="Palatino Linotype" w:hAnsi="Palatino Linotype" w:cs="Times New Roman"/>
          <w:b/>
          <w:iCs/>
        </w:rPr>
        <w:t xml:space="preserve">otes </w:t>
      </w:r>
      <w:r>
        <w:rPr>
          <w:rFonts w:ascii="Palatino Linotype" w:hAnsi="Palatino Linotype" w:cs="Times New Roman"/>
          <w:b/>
          <w:iCs/>
        </w:rPr>
        <w:t>C</w:t>
      </w:r>
      <w:r w:rsidRPr="00D20404">
        <w:rPr>
          <w:rFonts w:ascii="Palatino Linotype" w:hAnsi="Palatino Linotype" w:cs="Times New Roman"/>
          <w:b/>
          <w:iCs/>
        </w:rPr>
        <w:t>ast by Mutual Funds</w:t>
      </w:r>
    </w:p>
    <w:p w:rsidR="00284E34" w:rsidRPr="00D20404" w:rsidRDefault="00284E34" w:rsidP="00284E34">
      <w:pPr>
        <w:pStyle w:val="Default"/>
        <w:tabs>
          <w:tab w:val="left" w:pos="1170"/>
        </w:tabs>
        <w:jc w:val="both"/>
        <w:rPr>
          <w:rFonts w:ascii="Palatino Linotype" w:hAnsi="Palatino Linotype" w:cs="Times New Roman"/>
          <w:b/>
          <w:iCs/>
        </w:rPr>
      </w:pPr>
    </w:p>
    <w:p w:rsidR="00284E34" w:rsidRPr="00D20404" w:rsidRDefault="00284E34" w:rsidP="00284E34">
      <w:pPr>
        <w:pStyle w:val="Default"/>
        <w:tabs>
          <w:tab w:val="left" w:pos="1170"/>
        </w:tabs>
        <w:jc w:val="both"/>
        <w:rPr>
          <w:rFonts w:ascii="Palatino Linotype" w:hAnsi="Palatino Linotype" w:cs="Times New Roman"/>
          <w:bCs/>
          <w:iCs/>
        </w:rPr>
      </w:pPr>
      <w:r w:rsidRPr="00D20404">
        <w:rPr>
          <w:rFonts w:ascii="Palatino Linotype" w:hAnsi="Palatino Linotype" w:cs="Times New Roman"/>
          <w:bCs/>
          <w:iCs/>
        </w:rPr>
        <w:t xml:space="preserve">In order to further improve transparency, and encourage the mutual funds/AMCs to </w:t>
      </w:r>
      <w:r>
        <w:rPr>
          <w:rFonts w:ascii="Palatino Linotype" w:hAnsi="Palatino Linotype" w:cs="Times New Roman"/>
          <w:bCs/>
          <w:iCs/>
        </w:rPr>
        <w:t xml:space="preserve">diligently </w:t>
      </w:r>
      <w:r w:rsidRPr="00D20404">
        <w:rPr>
          <w:rFonts w:ascii="Palatino Linotype" w:hAnsi="Palatino Linotype" w:cs="Times New Roman"/>
          <w:bCs/>
          <w:iCs/>
        </w:rPr>
        <w:t>exercise their voting rights</w:t>
      </w:r>
      <w:r>
        <w:rPr>
          <w:rFonts w:ascii="Palatino Linotype" w:hAnsi="Palatino Linotype" w:cs="Times New Roman"/>
          <w:bCs/>
          <w:iCs/>
        </w:rPr>
        <w:t xml:space="preserve"> in the best interest of the unitholders</w:t>
      </w:r>
      <w:r w:rsidRPr="00D20404">
        <w:rPr>
          <w:rFonts w:ascii="Palatino Linotype" w:hAnsi="Palatino Linotype" w:cs="Times New Roman"/>
          <w:bCs/>
          <w:iCs/>
        </w:rPr>
        <w:t xml:space="preserve">, additional guidelines </w:t>
      </w:r>
      <w:r>
        <w:rPr>
          <w:rFonts w:ascii="Palatino Linotype" w:hAnsi="Palatino Linotype" w:cs="Times New Roman"/>
          <w:bCs/>
          <w:iCs/>
        </w:rPr>
        <w:t xml:space="preserve">are </w:t>
      </w:r>
      <w:r w:rsidRPr="00D20404">
        <w:rPr>
          <w:rFonts w:ascii="Palatino Linotype" w:hAnsi="Palatino Linotype" w:cs="Times New Roman"/>
          <w:bCs/>
          <w:iCs/>
        </w:rPr>
        <w:t>prescribed</w:t>
      </w:r>
      <w:r>
        <w:rPr>
          <w:rFonts w:ascii="Palatino Linotype" w:hAnsi="Palatino Linotype" w:cs="Times New Roman"/>
          <w:bCs/>
          <w:iCs/>
        </w:rPr>
        <w:t>.</w:t>
      </w:r>
      <w:r w:rsidRPr="00D20404">
        <w:rPr>
          <w:rFonts w:ascii="Palatino Linotype" w:hAnsi="Palatino Linotype" w:cs="Times New Roman"/>
          <w:bCs/>
          <w:iCs/>
        </w:rPr>
        <w:t xml:space="preserve"> </w:t>
      </w:r>
    </w:p>
    <w:p w:rsidR="00284E34" w:rsidRPr="00D20404" w:rsidRDefault="00284E34" w:rsidP="00284E34">
      <w:pPr>
        <w:pStyle w:val="Default"/>
        <w:tabs>
          <w:tab w:val="left" w:pos="1170"/>
        </w:tabs>
        <w:ind w:left="840"/>
        <w:jc w:val="both"/>
        <w:rPr>
          <w:rFonts w:ascii="Palatino Linotype" w:hAnsi="Palatino Linotype" w:cs="Times New Roman"/>
          <w:bCs/>
          <w:iCs/>
        </w:rPr>
      </w:pPr>
    </w:p>
    <w:p w:rsidR="00284E34" w:rsidRPr="00D20404" w:rsidRDefault="00284E34" w:rsidP="00284E34">
      <w:pPr>
        <w:pStyle w:val="Default"/>
        <w:tabs>
          <w:tab w:val="left" w:pos="1170"/>
        </w:tabs>
        <w:jc w:val="both"/>
        <w:rPr>
          <w:rFonts w:ascii="Palatino Linotype" w:hAnsi="Palatino Linotype" w:cs="Times New Roman"/>
          <w:bCs/>
          <w:i/>
        </w:rPr>
      </w:pPr>
      <w:r w:rsidRPr="00D20404">
        <w:rPr>
          <w:rFonts w:ascii="Palatino Linotype" w:hAnsi="Palatino Linotype" w:cs="Times New Roman"/>
          <w:bCs/>
          <w:i/>
        </w:rPr>
        <w:t>Source: SEBI/HO/IMD/DF4/CIR/P/2021/29 dated March 05, 2021</w:t>
      </w:r>
    </w:p>
    <w:p w:rsidR="00284E34" w:rsidRDefault="00284E34" w:rsidP="00284E34">
      <w:pPr>
        <w:jc w:val="center"/>
        <w:rPr>
          <w:rFonts w:ascii="Palatino Linotype" w:hAnsi="Palatino Linotype" w:cs="Arial"/>
          <w:b/>
          <w:bCs/>
          <w:color w:val="000000"/>
        </w:rPr>
      </w:pPr>
    </w:p>
    <w:p w:rsidR="00284E34" w:rsidRPr="001D431F" w:rsidRDefault="00284E34" w:rsidP="00284E34">
      <w:pPr>
        <w:contextualSpacing/>
        <w:jc w:val="both"/>
        <w:rPr>
          <w:rFonts w:ascii="Palatino Linotype" w:eastAsia="Calibri" w:hAnsi="Palatino Linotype"/>
          <w:b/>
        </w:rPr>
      </w:pPr>
      <w:r>
        <w:rPr>
          <w:rFonts w:ascii="Palatino Linotype" w:eastAsia="Calibri" w:hAnsi="Palatino Linotype"/>
          <w:b/>
          <w:bCs/>
        </w:rPr>
        <w:t xml:space="preserve">4. </w:t>
      </w:r>
      <w:r w:rsidRPr="001D431F">
        <w:rPr>
          <w:rFonts w:ascii="Palatino Linotype" w:eastAsia="Calibri" w:hAnsi="Palatino Linotype"/>
          <w:b/>
          <w:bCs/>
        </w:rPr>
        <w:t>Amendments to provisions in SEBI Circular dated September 16, 2016 on Unique Client Code  and mandatory requirement of Permanent Account Number.</w:t>
      </w:r>
    </w:p>
    <w:p w:rsidR="00284E34" w:rsidRPr="001D431F" w:rsidRDefault="00284E34" w:rsidP="00284E34">
      <w:pPr>
        <w:contextualSpacing/>
        <w:jc w:val="both"/>
        <w:rPr>
          <w:rFonts w:ascii="Palatino Linotype" w:eastAsia="Calibri" w:hAnsi="Palatino Linotype"/>
          <w:b/>
        </w:rPr>
      </w:pPr>
    </w:p>
    <w:p w:rsidR="00284E34" w:rsidRDefault="00284E34" w:rsidP="00284E34">
      <w:pPr>
        <w:contextualSpacing/>
        <w:jc w:val="both"/>
        <w:rPr>
          <w:rFonts w:ascii="Palatino Linotype" w:eastAsia="Calibri" w:hAnsi="Palatino Linotype"/>
          <w:bCs/>
        </w:rPr>
      </w:pPr>
      <w:r w:rsidRPr="001D431F">
        <w:rPr>
          <w:rFonts w:ascii="Palatino Linotype" w:eastAsia="Calibri" w:hAnsi="Palatino Linotype"/>
          <w:bCs/>
        </w:rPr>
        <w:t xml:space="preserve">In order to rationalize the compliance requirement of collecting and maintaining copies of PAN of clients by their respective members and enhance the use of e-PAN which is announced in Union budget 2020, </w:t>
      </w:r>
      <w:r>
        <w:rPr>
          <w:rFonts w:ascii="Palatino Linotype" w:eastAsia="Calibri" w:hAnsi="Palatino Linotype"/>
          <w:bCs/>
        </w:rPr>
        <w:t>it was</w:t>
      </w:r>
      <w:r w:rsidRPr="001D431F">
        <w:rPr>
          <w:rFonts w:ascii="Palatino Linotype" w:eastAsia="Calibri" w:hAnsi="Palatino Linotype"/>
          <w:bCs/>
        </w:rPr>
        <w:t xml:space="preserve"> decided to modify certain provisions of circular dated September 16, 2016, specifically to the clause 3 and clause 5, which are as follows.</w:t>
      </w:r>
    </w:p>
    <w:p w:rsidR="00284E34" w:rsidRPr="001D431F" w:rsidRDefault="00284E34" w:rsidP="00284E34">
      <w:pPr>
        <w:contextualSpacing/>
        <w:jc w:val="both"/>
        <w:rPr>
          <w:rFonts w:ascii="Palatino Linotype" w:eastAsia="Calibri" w:hAnsi="Palatino Linotype" w:cs="Calibri"/>
          <w:color w:val="000000"/>
          <w:lang w:bidi="hi-IN"/>
        </w:rPr>
      </w:pPr>
    </w:p>
    <w:p w:rsidR="00284E34" w:rsidRPr="001D431F" w:rsidRDefault="00284E34" w:rsidP="00284E34">
      <w:pPr>
        <w:numPr>
          <w:ilvl w:val="0"/>
          <w:numId w:val="16"/>
        </w:numPr>
        <w:autoSpaceDE w:val="0"/>
        <w:autoSpaceDN w:val="0"/>
        <w:adjustRightInd w:val="0"/>
        <w:contextualSpacing/>
        <w:jc w:val="both"/>
        <w:rPr>
          <w:rFonts w:ascii="Palatino Linotype" w:eastAsia="Calibri" w:hAnsi="Palatino Linotype"/>
          <w:color w:val="000000"/>
          <w:lang w:bidi="hi-IN"/>
        </w:rPr>
      </w:pPr>
      <w:r w:rsidRPr="001D431F">
        <w:rPr>
          <w:rFonts w:ascii="Palatino Linotype" w:eastAsia="Calibri" w:hAnsi="Palatino Linotype"/>
          <w:color w:val="000000"/>
          <w:lang w:bidi="hi-IN"/>
        </w:rPr>
        <w:t>It shall be mandatory for the members of the exchanges having commodity derivatives segment to use Unique Client Code (UCC) for all clients transacting on the commodity derivative segment.</w:t>
      </w:r>
    </w:p>
    <w:p w:rsidR="00284E34" w:rsidRPr="001D431F" w:rsidRDefault="00284E34" w:rsidP="00284E34">
      <w:pPr>
        <w:numPr>
          <w:ilvl w:val="0"/>
          <w:numId w:val="16"/>
        </w:numPr>
        <w:contextualSpacing/>
        <w:jc w:val="both"/>
        <w:rPr>
          <w:rFonts w:ascii="Palatino Linotype" w:eastAsia="Calibri" w:hAnsi="Palatino Linotype"/>
          <w:bCs/>
        </w:rPr>
      </w:pPr>
      <w:r w:rsidRPr="001D431F">
        <w:rPr>
          <w:rFonts w:ascii="Palatino Linotype" w:eastAsia="Calibri" w:hAnsi="Palatino Linotype"/>
          <w:color w:val="000000"/>
          <w:lang w:bidi="hi-IN"/>
        </w:rPr>
        <w:t>Members shall collect the copies of PAN and maintain it in their back office after verifying the authenticity. However, In the case of e-PAN, members shall verify the authenticity with the details on the website of the IT department.</w:t>
      </w:r>
    </w:p>
    <w:p w:rsidR="00284E34" w:rsidRPr="001D431F" w:rsidRDefault="00284E34" w:rsidP="00284E34">
      <w:pPr>
        <w:numPr>
          <w:ilvl w:val="0"/>
          <w:numId w:val="16"/>
        </w:numPr>
        <w:contextualSpacing/>
        <w:jc w:val="both"/>
        <w:rPr>
          <w:rFonts w:ascii="Palatino Linotype" w:eastAsia="Calibri" w:hAnsi="Palatino Linotype"/>
          <w:bCs/>
        </w:rPr>
      </w:pPr>
      <w:r w:rsidRPr="001D431F">
        <w:rPr>
          <w:rFonts w:ascii="Palatino Linotype" w:eastAsia="Calibri" w:hAnsi="Palatino Linotype"/>
          <w:color w:val="000000"/>
          <w:lang w:bidi="hi-IN"/>
        </w:rPr>
        <w:t>The exchange having commodity derivative segment shall collect the copies of PAN card from their clients, cross-check the authenticity with the web-site of IT department, and upload details to the exchanges as part of UCC.</w:t>
      </w:r>
    </w:p>
    <w:p w:rsidR="00284E34" w:rsidRPr="001D431F" w:rsidRDefault="00284E34" w:rsidP="00284E34">
      <w:pPr>
        <w:ind w:left="720"/>
        <w:contextualSpacing/>
        <w:jc w:val="both"/>
        <w:rPr>
          <w:rFonts w:ascii="Palatino Linotype" w:eastAsia="Calibri" w:hAnsi="Palatino Linotype"/>
          <w:bCs/>
        </w:rPr>
      </w:pPr>
    </w:p>
    <w:p w:rsidR="00284E34" w:rsidRPr="00013BA3" w:rsidRDefault="00284E34" w:rsidP="00284E34">
      <w:pPr>
        <w:jc w:val="both"/>
        <w:rPr>
          <w:rFonts w:ascii="Palatino Linotype" w:eastAsia="Calibri" w:hAnsi="Palatino Linotype"/>
          <w:bCs/>
          <w:i/>
          <w:iCs/>
        </w:rPr>
      </w:pPr>
      <w:r w:rsidRPr="00013BA3">
        <w:rPr>
          <w:rFonts w:ascii="Palatino Linotype" w:eastAsia="Calibri" w:hAnsi="Palatino Linotype"/>
          <w:bCs/>
          <w:i/>
          <w:iCs/>
        </w:rPr>
        <w:t>Source - SEBI/HO/CDMRD/DNP/CIR/P/2021/30 Dated March 08, 2021</w:t>
      </w:r>
    </w:p>
    <w:p w:rsidR="00284E34" w:rsidRPr="00013BA3" w:rsidRDefault="00284E34" w:rsidP="00284E34">
      <w:pPr>
        <w:jc w:val="both"/>
        <w:rPr>
          <w:rFonts w:ascii="Palatino Linotype" w:eastAsia="Calibri" w:hAnsi="Palatino Linotype"/>
          <w:bCs/>
          <w:i/>
          <w:iCs/>
        </w:rPr>
      </w:pPr>
    </w:p>
    <w:p w:rsidR="00284E34" w:rsidRPr="00013BA3" w:rsidRDefault="00284E34" w:rsidP="00284E34">
      <w:pPr>
        <w:contextualSpacing/>
        <w:jc w:val="both"/>
        <w:rPr>
          <w:rFonts w:ascii="Palatino Linotype" w:eastAsia="Calibri" w:hAnsi="Palatino Linotype"/>
          <w:bCs/>
        </w:rPr>
      </w:pPr>
      <w:r w:rsidRPr="00013BA3">
        <w:rPr>
          <w:rFonts w:ascii="Palatino Linotype" w:eastAsia="Calibri" w:hAnsi="Palatino Linotype" w:cs="Mangal"/>
          <w:b/>
          <w:bCs/>
          <w:sz w:val="22"/>
          <w:szCs w:val="22"/>
        </w:rPr>
        <w:t>5.</w:t>
      </w:r>
      <w:r w:rsidRPr="00013BA3">
        <w:rPr>
          <w:rFonts w:ascii="Palatino Linotype" w:eastAsia="Calibri" w:hAnsi="Palatino Linotype" w:cs="Mangal"/>
          <w:sz w:val="22"/>
          <w:szCs w:val="22"/>
        </w:rPr>
        <w:t xml:space="preserve"> </w:t>
      </w:r>
      <w:r w:rsidRPr="00013BA3">
        <w:rPr>
          <w:rFonts w:ascii="Palatino Linotype" w:eastAsia="Calibri" w:hAnsi="Palatino Linotype"/>
          <w:b/>
          <w:bCs/>
        </w:rPr>
        <w:t>Rollout of Legal Entity Template</w:t>
      </w:r>
    </w:p>
    <w:p w:rsidR="00284E34" w:rsidRPr="00013BA3" w:rsidRDefault="00284E34" w:rsidP="00284E34">
      <w:pPr>
        <w:contextualSpacing/>
        <w:jc w:val="both"/>
        <w:rPr>
          <w:rFonts w:ascii="Palatino Linotype" w:eastAsia="Calibri" w:hAnsi="Palatino Linotype"/>
          <w:bCs/>
        </w:rPr>
      </w:pPr>
    </w:p>
    <w:p w:rsidR="00284E34" w:rsidRDefault="00284E34" w:rsidP="00284E34">
      <w:pPr>
        <w:autoSpaceDE w:val="0"/>
        <w:autoSpaceDN w:val="0"/>
        <w:adjustRightInd w:val="0"/>
        <w:jc w:val="both"/>
        <w:rPr>
          <w:rFonts w:ascii="Palatino Linotype" w:hAnsi="Palatino Linotype"/>
        </w:rPr>
      </w:pPr>
      <w:r w:rsidRPr="00013BA3">
        <w:rPr>
          <w:rFonts w:ascii="Palatino Linotype" w:hAnsi="Palatino Linotype"/>
        </w:rPr>
        <w:t>Central KYC Records Registry (CKYCR), in its communication no. CKYC/2020/11 dated January 04, 2021 has specified that since CKYCR is fully operational for individual clients, it has been decided to extend CKYCR to Legal Entities (LE) as well. Accordingly, registered intermediaries are required to upload the KYC records of LE accounts opened on or after April 01, 2021 on to CKYCR in terms of Rule 9 (1A) of the Prevention of Money Laundering (Maintenance of Records) Rules, 2005.</w:t>
      </w:r>
    </w:p>
    <w:p w:rsidR="00013BA3" w:rsidRPr="00013BA3" w:rsidRDefault="00013BA3" w:rsidP="00284E34">
      <w:pPr>
        <w:autoSpaceDE w:val="0"/>
        <w:autoSpaceDN w:val="0"/>
        <w:adjustRightInd w:val="0"/>
        <w:jc w:val="both"/>
        <w:rPr>
          <w:rFonts w:ascii="Palatino Linotype" w:eastAsia="Calibri" w:hAnsi="Palatino Linotype"/>
          <w:color w:val="000000"/>
          <w:lang w:val="en-IN"/>
        </w:rPr>
      </w:pPr>
    </w:p>
    <w:p w:rsidR="00284E34" w:rsidRPr="00013BA3" w:rsidRDefault="00284E34" w:rsidP="00284E34">
      <w:pPr>
        <w:autoSpaceDE w:val="0"/>
        <w:autoSpaceDN w:val="0"/>
        <w:adjustRightInd w:val="0"/>
        <w:rPr>
          <w:rFonts w:ascii="Palatino Linotype" w:eastAsia="Calibri" w:hAnsi="Palatino Linotype"/>
          <w:color w:val="000000"/>
          <w:lang w:val="en-IN"/>
        </w:rPr>
      </w:pPr>
      <w:r w:rsidRPr="00013BA3">
        <w:rPr>
          <w:rFonts w:ascii="Palatino Linotype" w:eastAsia="Calibri" w:hAnsi="Palatino Linotype"/>
          <w:color w:val="000000"/>
          <w:lang w:val="en-IN"/>
        </w:rPr>
        <w:t>The provision of this circular is not applicable to the Foreign Portfolio Investors (FPIs).</w:t>
      </w:r>
    </w:p>
    <w:p w:rsidR="00284E34" w:rsidRPr="00013BA3" w:rsidRDefault="00284E34" w:rsidP="00284E34">
      <w:pPr>
        <w:autoSpaceDE w:val="0"/>
        <w:autoSpaceDN w:val="0"/>
        <w:adjustRightInd w:val="0"/>
        <w:ind w:left="1080"/>
        <w:rPr>
          <w:rFonts w:ascii="Palatino Linotype" w:eastAsia="Calibri" w:hAnsi="Palatino Linotype"/>
          <w:color w:val="000000"/>
          <w:lang w:val="en-IN"/>
        </w:rPr>
      </w:pPr>
    </w:p>
    <w:p w:rsidR="00284E34" w:rsidRPr="00013BA3" w:rsidRDefault="00284E34" w:rsidP="00284E34">
      <w:pPr>
        <w:autoSpaceDE w:val="0"/>
        <w:autoSpaceDN w:val="0"/>
        <w:adjustRightInd w:val="0"/>
        <w:contextualSpacing/>
        <w:rPr>
          <w:rFonts w:ascii="Palatino Linotype" w:eastAsia="Calibri" w:hAnsi="Palatino Linotype"/>
          <w:i/>
          <w:iCs/>
          <w:color w:val="000000"/>
        </w:rPr>
      </w:pPr>
      <w:r w:rsidRPr="00013BA3">
        <w:rPr>
          <w:rFonts w:ascii="Palatino Linotype" w:eastAsia="Calibri" w:hAnsi="Palatino Linotype"/>
          <w:i/>
          <w:iCs/>
          <w:color w:val="000000"/>
          <w:lang w:val="en-IN"/>
        </w:rPr>
        <w:t xml:space="preserve">Source - </w:t>
      </w:r>
      <w:r w:rsidRPr="00013BA3">
        <w:rPr>
          <w:rFonts w:ascii="Palatino Linotype" w:eastAsia="Calibri" w:hAnsi="Palatino Linotype"/>
          <w:i/>
          <w:iCs/>
          <w:color w:val="000000"/>
        </w:rPr>
        <w:t>SEBI/HO/MIRSD/DOP/CIR/P/2021/31 dated March 10, 2021</w:t>
      </w:r>
    </w:p>
    <w:p w:rsidR="00284E34" w:rsidRPr="00013BA3" w:rsidRDefault="00284E34" w:rsidP="00284E34">
      <w:pPr>
        <w:autoSpaceDE w:val="0"/>
        <w:autoSpaceDN w:val="0"/>
        <w:adjustRightInd w:val="0"/>
        <w:contextualSpacing/>
        <w:rPr>
          <w:rFonts w:ascii="Palatino Linotype" w:eastAsia="Calibri" w:hAnsi="Palatino Linotype"/>
          <w:i/>
          <w:iCs/>
          <w:color w:val="000000"/>
        </w:rPr>
      </w:pPr>
    </w:p>
    <w:p w:rsidR="00284E34" w:rsidRPr="00013BA3" w:rsidRDefault="00284E34" w:rsidP="00284E34">
      <w:pPr>
        <w:contextualSpacing/>
        <w:jc w:val="both"/>
        <w:rPr>
          <w:rFonts w:ascii="Palatino Linotype" w:eastAsia="Calibri" w:hAnsi="Palatino Linotype"/>
          <w:b/>
        </w:rPr>
      </w:pPr>
      <w:r w:rsidRPr="00013BA3">
        <w:rPr>
          <w:rFonts w:ascii="Palatino Linotype" w:eastAsia="Calibri" w:hAnsi="Palatino Linotype"/>
          <w:b/>
        </w:rPr>
        <w:t>6. Review of Norms Regarding Investment in Debt Instruments with Special Features, and the Valuation of Perpetual Bonds.</w:t>
      </w:r>
    </w:p>
    <w:p w:rsidR="00284E34" w:rsidRPr="00013BA3" w:rsidRDefault="00284E34" w:rsidP="00284E34">
      <w:pPr>
        <w:ind w:left="360"/>
        <w:contextualSpacing/>
        <w:jc w:val="both"/>
        <w:rPr>
          <w:rFonts w:ascii="Palatino Linotype" w:eastAsia="Calibri" w:hAnsi="Palatino Linotype"/>
          <w:b/>
        </w:rPr>
      </w:pPr>
    </w:p>
    <w:p w:rsidR="00284E34" w:rsidRPr="00013BA3" w:rsidRDefault="00284E34" w:rsidP="00284E34">
      <w:pPr>
        <w:numPr>
          <w:ilvl w:val="0"/>
          <w:numId w:val="18"/>
        </w:numPr>
        <w:contextualSpacing/>
        <w:jc w:val="both"/>
        <w:rPr>
          <w:rFonts w:ascii="Palatino Linotype" w:eastAsia="Calibri" w:hAnsi="Palatino Linotype"/>
          <w:bCs/>
        </w:rPr>
      </w:pPr>
      <w:r w:rsidRPr="00013BA3">
        <w:rPr>
          <w:rFonts w:ascii="Palatino Linotype" w:eastAsia="Calibri" w:hAnsi="Palatino Linotype"/>
          <w:b/>
        </w:rPr>
        <w:t>Review of norms of Investments having Special Features.</w:t>
      </w:r>
    </w:p>
    <w:p w:rsidR="00013BA3" w:rsidRPr="00013BA3" w:rsidRDefault="00013BA3" w:rsidP="00013BA3">
      <w:pPr>
        <w:ind w:left="720"/>
        <w:contextualSpacing/>
        <w:jc w:val="both"/>
        <w:rPr>
          <w:rFonts w:ascii="Palatino Linotype" w:eastAsia="Calibri" w:hAnsi="Palatino Linotype"/>
          <w:bCs/>
        </w:rPr>
      </w:pPr>
    </w:p>
    <w:p w:rsidR="00284E34" w:rsidRDefault="00284E34" w:rsidP="00013BA3">
      <w:pPr>
        <w:ind w:left="709"/>
        <w:contextualSpacing/>
        <w:jc w:val="both"/>
        <w:rPr>
          <w:rFonts w:ascii="Palatino Linotype" w:eastAsia="Calibri" w:hAnsi="Palatino Linotype"/>
          <w:bCs/>
        </w:rPr>
      </w:pPr>
      <w:r w:rsidRPr="00013BA3">
        <w:rPr>
          <w:rFonts w:ascii="Palatino Linotype" w:eastAsia="Calibri" w:hAnsi="Palatino Linotype"/>
          <w:bCs/>
        </w:rPr>
        <w:t>The debt instruments with special features (subordination to equity and convertible to equity upon trigger of a pre-specified event for loss absorption, Tire I and Tire II bonds issued under Basel III) in which the mutual funds invest may be treated as debt instruments until converted to equity.</w:t>
      </w:r>
    </w:p>
    <w:p w:rsidR="00013BA3" w:rsidRPr="00013BA3" w:rsidRDefault="00013BA3" w:rsidP="00013BA3">
      <w:pPr>
        <w:ind w:left="1080"/>
        <w:contextualSpacing/>
        <w:jc w:val="both"/>
        <w:rPr>
          <w:rFonts w:ascii="Palatino Linotype" w:eastAsia="Calibri" w:hAnsi="Palatino Linotype"/>
          <w:bCs/>
        </w:rPr>
      </w:pPr>
    </w:p>
    <w:p w:rsidR="00284E34" w:rsidRPr="00013BA3" w:rsidRDefault="00284E34" w:rsidP="00284E34">
      <w:pPr>
        <w:numPr>
          <w:ilvl w:val="0"/>
          <w:numId w:val="18"/>
        </w:numPr>
        <w:contextualSpacing/>
        <w:jc w:val="both"/>
        <w:rPr>
          <w:rFonts w:ascii="Palatino Linotype" w:eastAsia="Calibri" w:hAnsi="Palatino Linotype"/>
          <w:bCs/>
        </w:rPr>
      </w:pPr>
      <w:r w:rsidRPr="00013BA3">
        <w:rPr>
          <w:rFonts w:ascii="Palatino Linotype" w:eastAsia="Calibri" w:hAnsi="Palatino Linotype"/>
          <w:bCs/>
        </w:rPr>
        <w:t>Prudential</w:t>
      </w:r>
      <w:r w:rsidR="00013BA3">
        <w:rPr>
          <w:rFonts w:ascii="Palatino Linotype" w:eastAsia="Calibri" w:hAnsi="Palatino Linotype"/>
          <w:bCs/>
        </w:rPr>
        <w:t xml:space="preserve"> </w:t>
      </w:r>
      <w:r w:rsidRPr="00013BA3">
        <w:rPr>
          <w:rFonts w:ascii="Palatino Linotype" w:eastAsia="Calibri" w:hAnsi="Palatino Linotype"/>
          <w:bCs/>
        </w:rPr>
        <w:t xml:space="preserve">investment limits have been specified for such instruments. </w:t>
      </w:r>
      <w:r w:rsidRPr="00013BA3">
        <w:rPr>
          <w:rFonts w:ascii="Palatino Linotype" w:eastAsia="Calibri" w:hAnsi="Palatino Linotype"/>
          <w:b/>
        </w:rPr>
        <w:t>Provisions for segregated portfolio in the scheme information document.</w:t>
      </w:r>
    </w:p>
    <w:p w:rsidR="00013BA3" w:rsidRPr="00013BA3" w:rsidRDefault="00013BA3" w:rsidP="00013BA3">
      <w:pPr>
        <w:ind w:left="720"/>
        <w:contextualSpacing/>
        <w:jc w:val="both"/>
        <w:rPr>
          <w:rFonts w:ascii="Palatino Linotype" w:eastAsia="Calibri" w:hAnsi="Palatino Linotype"/>
          <w:bCs/>
        </w:rPr>
      </w:pPr>
    </w:p>
    <w:p w:rsidR="00284E34" w:rsidRPr="00013BA3" w:rsidRDefault="00284E34" w:rsidP="00013BA3">
      <w:pPr>
        <w:pStyle w:val="ListParagraph"/>
        <w:shd w:val="clear" w:color="auto" w:fill="FFFFFF"/>
        <w:spacing w:after="0" w:line="240" w:lineRule="auto"/>
        <w:jc w:val="both"/>
        <w:rPr>
          <w:rFonts w:ascii="Palatino Linotype" w:eastAsia="Times New Roman" w:hAnsi="Palatino Linotype" w:cs="Arial"/>
          <w:sz w:val="24"/>
          <w:szCs w:val="24"/>
          <w:lang w:val="en-IN" w:eastAsia="en-IN"/>
        </w:rPr>
      </w:pPr>
      <w:r w:rsidRPr="00013BA3">
        <w:rPr>
          <w:rFonts w:ascii="Palatino Linotype" w:hAnsi="Palatino Linotype"/>
          <w:bCs/>
          <w:sz w:val="24"/>
          <w:szCs w:val="24"/>
        </w:rPr>
        <w:t>Further, the debt instruments with special features shall ensure that the Scheme Information Document  of the scheme has provisions for segregated portfolio s</w:t>
      </w:r>
      <w:r w:rsidRPr="00013BA3">
        <w:rPr>
          <w:rFonts w:ascii="Palatino Linotype" w:eastAsia="Times New Roman" w:hAnsi="Palatino Linotype" w:cs="Arial"/>
          <w:sz w:val="24"/>
          <w:szCs w:val="24"/>
          <w:lang w:val="en-IN" w:eastAsia="en-IN"/>
        </w:rPr>
        <w:t>ubject   to   compliance   with   Regulation   18(15A)   of   SEBI   (Mutual   Funds) Regulations,  1996</w:t>
      </w:r>
      <w:r w:rsidR="00013BA3">
        <w:rPr>
          <w:rFonts w:ascii="Palatino Linotype" w:eastAsia="Times New Roman" w:hAnsi="Palatino Linotype" w:cs="Arial"/>
          <w:sz w:val="24"/>
          <w:szCs w:val="24"/>
          <w:lang w:val="en-IN" w:eastAsia="en-IN"/>
        </w:rPr>
        <w:t>.</w:t>
      </w:r>
    </w:p>
    <w:p w:rsidR="00284E34" w:rsidRPr="00013BA3" w:rsidRDefault="00284E34" w:rsidP="00284E34">
      <w:pPr>
        <w:contextualSpacing/>
        <w:jc w:val="both"/>
        <w:rPr>
          <w:rFonts w:ascii="Palatino Linotype" w:eastAsia="Calibri" w:hAnsi="Palatino Linotype"/>
          <w:bCs/>
        </w:rPr>
      </w:pPr>
    </w:p>
    <w:p w:rsidR="00284E34" w:rsidRPr="00013BA3" w:rsidRDefault="00284E34" w:rsidP="00284E34">
      <w:pPr>
        <w:numPr>
          <w:ilvl w:val="0"/>
          <w:numId w:val="18"/>
        </w:numPr>
        <w:contextualSpacing/>
        <w:jc w:val="both"/>
        <w:rPr>
          <w:rFonts w:ascii="Palatino Linotype" w:eastAsia="Calibri" w:hAnsi="Palatino Linotype"/>
          <w:b/>
        </w:rPr>
      </w:pPr>
      <w:r w:rsidRPr="00013BA3">
        <w:rPr>
          <w:rFonts w:ascii="Palatino Linotype" w:eastAsia="Calibri" w:hAnsi="Palatino Linotype"/>
          <w:color w:val="000000"/>
          <w:lang w:val="en-IN"/>
        </w:rPr>
        <w:t xml:space="preserve">Conditions with respect to instrument is to be written off or converted to equity pursuant to any proposal are specified. </w:t>
      </w:r>
      <w:r w:rsidRPr="00013BA3">
        <w:rPr>
          <w:rFonts w:ascii="Palatino Linotype" w:eastAsia="Calibri" w:hAnsi="Palatino Linotype"/>
          <w:b/>
        </w:rPr>
        <w:t>Valuation of perpetual bonds.</w:t>
      </w:r>
    </w:p>
    <w:p w:rsidR="00284E34" w:rsidRPr="00013BA3" w:rsidRDefault="00284E34" w:rsidP="00013BA3">
      <w:pPr>
        <w:ind w:left="709"/>
        <w:contextualSpacing/>
        <w:jc w:val="both"/>
        <w:rPr>
          <w:rFonts w:ascii="Palatino Linotype" w:eastAsia="Calibri" w:hAnsi="Palatino Linotype"/>
          <w:bCs/>
        </w:rPr>
      </w:pPr>
      <w:r w:rsidRPr="00013BA3">
        <w:rPr>
          <w:rFonts w:ascii="Palatino Linotype" w:eastAsia="Calibri" w:hAnsi="Palatino Linotype"/>
          <w:bCs/>
        </w:rPr>
        <w:t>With regards to the valuation of bonds with call or put option, it is clarified that the bonds should be valued in line with SEBI circular dated September 18, 2000 irrespective of the nature of the issuer. Further the maturity of all perpetual bonds shall be treated as 100 years from the date of issuance.</w:t>
      </w:r>
    </w:p>
    <w:p w:rsidR="00284E34" w:rsidRPr="00013BA3" w:rsidRDefault="00284E34" w:rsidP="00284E34">
      <w:pPr>
        <w:ind w:left="1080"/>
        <w:contextualSpacing/>
        <w:jc w:val="both"/>
        <w:rPr>
          <w:rFonts w:ascii="Palatino Linotype" w:eastAsia="Calibri" w:hAnsi="Palatino Linotype"/>
          <w:bCs/>
        </w:rPr>
      </w:pPr>
    </w:p>
    <w:p w:rsidR="00284E34" w:rsidRPr="00013BA3" w:rsidRDefault="00284E34" w:rsidP="00284E34">
      <w:pPr>
        <w:rPr>
          <w:rFonts w:ascii="Palatino Linotype" w:eastAsia="Calibri" w:hAnsi="Palatino Linotype"/>
          <w:bCs/>
          <w:i/>
          <w:iCs/>
        </w:rPr>
      </w:pPr>
      <w:r w:rsidRPr="00013BA3">
        <w:rPr>
          <w:rFonts w:ascii="Palatino Linotype" w:eastAsia="Calibri" w:hAnsi="Palatino Linotype"/>
          <w:bCs/>
          <w:i/>
          <w:iCs/>
          <w:lang w:val="en-IN"/>
        </w:rPr>
        <w:t>Source - SEBI/HO/IMD/DF4/CIR/P/2021/032 dated March 10, 2021</w:t>
      </w:r>
    </w:p>
    <w:p w:rsidR="00284E34" w:rsidRDefault="00284E34" w:rsidP="00284E34">
      <w:pPr>
        <w:jc w:val="both"/>
        <w:rPr>
          <w:rFonts w:ascii="Palatino Linotype" w:hAnsi="Palatino Linotype" w:cs="Arial"/>
          <w:b/>
          <w:bCs/>
          <w:color w:val="000000"/>
        </w:rPr>
      </w:pPr>
    </w:p>
    <w:p w:rsidR="00284E34" w:rsidRDefault="00284E34" w:rsidP="00284E34">
      <w:pPr>
        <w:jc w:val="center"/>
        <w:rPr>
          <w:rFonts w:ascii="Palatino Linotype" w:hAnsi="Palatino Linotype" w:cs="Arial"/>
          <w:b/>
          <w:bCs/>
          <w:color w:val="000000"/>
        </w:rPr>
      </w:pPr>
    </w:p>
    <w:p w:rsidR="00284E34" w:rsidRDefault="00284E34" w:rsidP="00284E34">
      <w:pPr>
        <w:contextualSpacing/>
        <w:jc w:val="both"/>
        <w:rPr>
          <w:rFonts w:ascii="Palatino Linotype" w:eastAsia="Calibri" w:hAnsi="Palatino Linotype"/>
          <w:b/>
          <w:bCs/>
        </w:rPr>
      </w:pPr>
      <w:r>
        <w:rPr>
          <w:rFonts w:ascii="Palatino Linotype" w:eastAsia="Calibri" w:hAnsi="Palatino Linotype"/>
          <w:b/>
          <w:bCs/>
        </w:rPr>
        <w:t xml:space="preserve">7. </w:t>
      </w:r>
      <w:r w:rsidRPr="00C52D68">
        <w:rPr>
          <w:rFonts w:ascii="Palatino Linotype" w:eastAsia="Calibri" w:hAnsi="Palatino Linotype"/>
          <w:b/>
          <w:bCs/>
        </w:rPr>
        <w:t xml:space="preserve">Streamlining the process of IPOs with UPI in ASBA and </w:t>
      </w:r>
      <w:r>
        <w:rPr>
          <w:rFonts w:ascii="Palatino Linotype" w:eastAsia="Calibri" w:hAnsi="Palatino Linotype"/>
          <w:b/>
          <w:bCs/>
        </w:rPr>
        <w:t>R</w:t>
      </w:r>
      <w:r w:rsidRPr="00C52D68">
        <w:rPr>
          <w:rFonts w:ascii="Palatino Linotype" w:eastAsia="Calibri" w:hAnsi="Palatino Linotype"/>
          <w:b/>
          <w:bCs/>
        </w:rPr>
        <w:t xml:space="preserve">edressal of </w:t>
      </w:r>
      <w:r>
        <w:rPr>
          <w:rFonts w:ascii="Palatino Linotype" w:eastAsia="Calibri" w:hAnsi="Palatino Linotype"/>
          <w:b/>
          <w:bCs/>
        </w:rPr>
        <w:t>I</w:t>
      </w:r>
      <w:r w:rsidRPr="00C52D68">
        <w:rPr>
          <w:rFonts w:ascii="Palatino Linotype" w:eastAsia="Calibri" w:hAnsi="Palatino Linotype"/>
          <w:b/>
          <w:bCs/>
        </w:rPr>
        <w:t xml:space="preserve">nvestors </w:t>
      </w:r>
      <w:r>
        <w:rPr>
          <w:rFonts w:ascii="Palatino Linotype" w:eastAsia="Calibri" w:hAnsi="Palatino Linotype"/>
          <w:b/>
          <w:bCs/>
        </w:rPr>
        <w:t>G</w:t>
      </w:r>
      <w:r w:rsidRPr="00C52D68">
        <w:rPr>
          <w:rFonts w:ascii="Palatino Linotype" w:eastAsia="Calibri" w:hAnsi="Palatino Linotype"/>
          <w:b/>
          <w:bCs/>
        </w:rPr>
        <w:t>rievances</w:t>
      </w:r>
    </w:p>
    <w:p w:rsidR="00284E34" w:rsidRPr="001D431F" w:rsidRDefault="00284E34" w:rsidP="00284E34">
      <w:pPr>
        <w:contextualSpacing/>
        <w:jc w:val="center"/>
        <w:rPr>
          <w:rFonts w:ascii="Palatino Linotype" w:eastAsia="Calibri" w:hAnsi="Palatino Linotype"/>
          <w:b/>
        </w:rPr>
      </w:pPr>
    </w:p>
    <w:p w:rsidR="00284E34" w:rsidRDefault="00284E34" w:rsidP="00284E34">
      <w:pPr>
        <w:contextualSpacing/>
        <w:jc w:val="both"/>
        <w:rPr>
          <w:rFonts w:ascii="Palatino Linotype" w:eastAsia="Calibri" w:hAnsi="Palatino Linotype"/>
          <w:bCs/>
        </w:rPr>
      </w:pPr>
      <w:r>
        <w:rPr>
          <w:rFonts w:ascii="Palatino Linotype" w:eastAsia="Calibri" w:hAnsi="Palatino Linotype"/>
          <w:bCs/>
        </w:rPr>
        <w:t>A uniform policy was put in place to streamline the reconciliation process among intermediaries with regard to initial public offerings (IPOs) as well as a new mechanism to compensate investors and issued new guidelines in this regard.  The guidelines aimed at addressing grievances of IPO investors, particularly those using the unified payment interface (UPI) for payments.  T</w:t>
      </w:r>
      <w:r w:rsidRPr="00055B4E">
        <w:rPr>
          <w:rFonts w:ascii="Palatino Linotype" w:eastAsia="Calibri" w:hAnsi="Palatino Linotype"/>
          <w:bCs/>
        </w:rPr>
        <w:t>h</w:t>
      </w:r>
      <w:r>
        <w:rPr>
          <w:rFonts w:ascii="Palatino Linotype" w:eastAsia="Calibri" w:hAnsi="Palatino Linotype"/>
          <w:bCs/>
        </w:rPr>
        <w:t>e c</w:t>
      </w:r>
      <w:r w:rsidRPr="00055B4E">
        <w:rPr>
          <w:rFonts w:ascii="Palatino Linotype" w:eastAsia="Calibri" w:hAnsi="Palatino Linotype"/>
          <w:bCs/>
        </w:rPr>
        <w:t>ircular shall come into force for IPOs opening on/after May</w:t>
      </w:r>
      <w:r>
        <w:rPr>
          <w:rFonts w:ascii="Palatino Linotype" w:eastAsia="Calibri" w:hAnsi="Palatino Linotype"/>
          <w:bCs/>
        </w:rPr>
        <w:t xml:space="preserve"> </w:t>
      </w:r>
      <w:r w:rsidRPr="00055B4E">
        <w:rPr>
          <w:rFonts w:ascii="Palatino Linotype" w:eastAsia="Calibri" w:hAnsi="Palatino Linotype"/>
          <w:bCs/>
        </w:rPr>
        <w:t>01,</w:t>
      </w:r>
      <w:r>
        <w:rPr>
          <w:rFonts w:ascii="Palatino Linotype" w:eastAsia="Calibri" w:hAnsi="Palatino Linotype"/>
          <w:bCs/>
        </w:rPr>
        <w:t xml:space="preserve"> </w:t>
      </w:r>
      <w:r w:rsidRPr="00055B4E">
        <w:rPr>
          <w:rFonts w:ascii="Palatino Linotype" w:eastAsia="Calibri" w:hAnsi="Palatino Linotype"/>
          <w:bCs/>
        </w:rPr>
        <w:t>2021.</w:t>
      </w:r>
    </w:p>
    <w:p w:rsidR="00284E34" w:rsidRDefault="00284E34" w:rsidP="00284E34">
      <w:pPr>
        <w:contextualSpacing/>
        <w:jc w:val="both"/>
        <w:rPr>
          <w:rFonts w:ascii="Palatino Linotype" w:eastAsia="Calibri" w:hAnsi="Palatino Linotype"/>
          <w:bCs/>
        </w:rPr>
      </w:pPr>
    </w:p>
    <w:p w:rsidR="00284E34" w:rsidRPr="001D431F" w:rsidRDefault="00284E34" w:rsidP="00284E34">
      <w:pPr>
        <w:contextualSpacing/>
        <w:jc w:val="both"/>
        <w:rPr>
          <w:rFonts w:ascii="Palatino Linotype" w:eastAsia="Calibri" w:hAnsi="Palatino Linotype"/>
          <w:bCs/>
        </w:rPr>
      </w:pP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055B4E">
        <w:rPr>
          <w:rFonts w:ascii="Palatino Linotype" w:eastAsia="Calibri" w:hAnsi="Palatino Linotype"/>
          <w:bCs/>
          <w:i/>
          <w:iCs/>
        </w:rPr>
        <w:t>SEBI/HO/CFD/DIL2/CIR/P/2021/2480/1/M</w:t>
      </w:r>
      <w:r w:rsidRPr="001D431F">
        <w:rPr>
          <w:rFonts w:ascii="Palatino Linotype" w:eastAsia="Calibri" w:hAnsi="Palatino Linotype"/>
          <w:bCs/>
          <w:i/>
          <w:iCs/>
        </w:rPr>
        <w:t xml:space="preserve"> Dated March</w:t>
      </w:r>
      <w:r>
        <w:rPr>
          <w:rFonts w:ascii="Palatino Linotype" w:eastAsia="Calibri" w:hAnsi="Palatino Linotype"/>
          <w:bCs/>
          <w:i/>
          <w:iCs/>
        </w:rPr>
        <w:t xml:space="preserve"> 16</w:t>
      </w:r>
      <w:r w:rsidRPr="001D431F">
        <w:rPr>
          <w:rFonts w:ascii="Palatino Linotype" w:eastAsia="Calibri" w:hAnsi="Palatino Linotype"/>
          <w:bCs/>
          <w:i/>
          <w:iCs/>
        </w:rPr>
        <w:t>, 2021</w:t>
      </w:r>
    </w:p>
    <w:p w:rsidR="00284E34" w:rsidRDefault="00284E34" w:rsidP="00284E34">
      <w:pPr>
        <w:jc w:val="both"/>
        <w:rPr>
          <w:rFonts w:ascii="Palatino Linotype" w:eastAsia="Calibri" w:hAnsi="Palatino Linotype"/>
          <w:bCs/>
          <w:i/>
          <w:iCs/>
        </w:rPr>
      </w:pPr>
    </w:p>
    <w:p w:rsidR="00284E34" w:rsidRDefault="00284E34" w:rsidP="00284E34">
      <w:pPr>
        <w:contextualSpacing/>
        <w:jc w:val="both"/>
        <w:rPr>
          <w:rFonts w:ascii="Palatino Linotype" w:eastAsia="Calibri" w:hAnsi="Palatino Linotype"/>
          <w:b/>
          <w:bCs/>
        </w:rPr>
      </w:pPr>
      <w:r>
        <w:rPr>
          <w:rFonts w:ascii="Palatino Linotype" w:eastAsia="Calibri" w:hAnsi="Palatino Linotype"/>
          <w:b/>
          <w:bCs/>
        </w:rPr>
        <w:t xml:space="preserve">8. </w:t>
      </w:r>
      <w:r w:rsidRPr="00596A25">
        <w:rPr>
          <w:rFonts w:ascii="Palatino Linotype" w:eastAsia="Calibri" w:hAnsi="Palatino Linotype"/>
          <w:b/>
          <w:bCs/>
        </w:rPr>
        <w:t xml:space="preserve">Guidelines for Business Continuity Plan and Disaster Recovery of Market Infrastructure Institutions </w:t>
      </w:r>
    </w:p>
    <w:p w:rsidR="00284E34" w:rsidRPr="001D431F" w:rsidRDefault="00284E34" w:rsidP="00284E34">
      <w:pPr>
        <w:contextualSpacing/>
        <w:jc w:val="both"/>
        <w:rPr>
          <w:rFonts w:ascii="Palatino Linotype" w:eastAsia="Calibri" w:hAnsi="Palatino Linotype"/>
          <w:b/>
        </w:rPr>
      </w:pPr>
    </w:p>
    <w:p w:rsidR="00284E34" w:rsidRDefault="00284E34" w:rsidP="00284E34">
      <w:pPr>
        <w:contextualSpacing/>
        <w:jc w:val="both"/>
        <w:rPr>
          <w:rFonts w:ascii="Palatino Linotype" w:eastAsia="Calibri" w:hAnsi="Palatino Linotype"/>
          <w:bCs/>
        </w:rPr>
      </w:pPr>
      <w:r>
        <w:rPr>
          <w:rFonts w:ascii="Palatino Linotype" w:eastAsia="Calibri" w:hAnsi="Palatino Linotype"/>
          <w:bCs/>
        </w:rPr>
        <w:t>Prescribed framework</w:t>
      </w:r>
      <w:r w:rsidRPr="007F401C">
        <w:rPr>
          <w:rFonts w:ascii="Palatino Linotype" w:eastAsia="Calibri" w:hAnsi="Palatino Linotype"/>
          <w:bCs/>
        </w:rPr>
        <w:t xml:space="preserve"> </w:t>
      </w:r>
      <w:r>
        <w:rPr>
          <w:rFonts w:ascii="Palatino Linotype" w:eastAsia="Calibri" w:hAnsi="Palatino Linotype"/>
          <w:bCs/>
        </w:rPr>
        <w:t xml:space="preserve">issued </w:t>
      </w:r>
      <w:r w:rsidRPr="007F401C">
        <w:rPr>
          <w:rFonts w:ascii="Palatino Linotype" w:eastAsia="Calibri" w:hAnsi="Palatino Linotype"/>
          <w:bCs/>
        </w:rPr>
        <w:t xml:space="preserve">for Business Continuity Plan </w:t>
      </w:r>
      <w:r>
        <w:rPr>
          <w:rFonts w:ascii="Palatino Linotype" w:eastAsia="Calibri" w:hAnsi="Palatino Linotype"/>
          <w:bCs/>
        </w:rPr>
        <w:t xml:space="preserve">(BCP) </w:t>
      </w:r>
      <w:r w:rsidRPr="007F401C">
        <w:rPr>
          <w:rFonts w:ascii="Palatino Linotype" w:eastAsia="Calibri" w:hAnsi="Palatino Linotype"/>
          <w:bCs/>
        </w:rPr>
        <w:t>and Disaster Recovery</w:t>
      </w:r>
      <w:r>
        <w:rPr>
          <w:rFonts w:ascii="Palatino Linotype" w:eastAsia="Calibri" w:hAnsi="Palatino Linotype"/>
          <w:bCs/>
        </w:rPr>
        <w:t xml:space="preserve"> Site</w:t>
      </w:r>
      <w:r w:rsidRPr="007F401C">
        <w:rPr>
          <w:rFonts w:ascii="Palatino Linotype" w:eastAsia="Calibri" w:hAnsi="Palatino Linotype"/>
          <w:bCs/>
        </w:rPr>
        <w:t xml:space="preserve"> </w:t>
      </w:r>
      <w:r>
        <w:rPr>
          <w:rFonts w:ascii="Palatino Linotype" w:eastAsia="Calibri" w:hAnsi="Palatino Linotype"/>
          <w:bCs/>
        </w:rPr>
        <w:t xml:space="preserve">(DRS) </w:t>
      </w:r>
      <w:r w:rsidRPr="007F401C">
        <w:rPr>
          <w:rFonts w:ascii="Palatino Linotype" w:eastAsia="Calibri" w:hAnsi="Palatino Linotype"/>
          <w:bCs/>
        </w:rPr>
        <w:t xml:space="preserve">of </w:t>
      </w:r>
      <w:r>
        <w:rPr>
          <w:rFonts w:ascii="Palatino Linotype" w:eastAsia="Calibri" w:hAnsi="Palatino Linotype"/>
          <w:bCs/>
        </w:rPr>
        <w:t>m</w:t>
      </w:r>
      <w:r w:rsidRPr="007F401C">
        <w:rPr>
          <w:rFonts w:ascii="Palatino Linotype" w:eastAsia="Calibri" w:hAnsi="Palatino Linotype"/>
          <w:bCs/>
        </w:rPr>
        <w:t xml:space="preserve">arket </w:t>
      </w:r>
      <w:r>
        <w:rPr>
          <w:rFonts w:ascii="Palatino Linotype" w:eastAsia="Calibri" w:hAnsi="Palatino Linotype"/>
          <w:bCs/>
        </w:rPr>
        <w:t>i</w:t>
      </w:r>
      <w:r w:rsidRPr="007F401C">
        <w:rPr>
          <w:rFonts w:ascii="Palatino Linotype" w:eastAsia="Calibri" w:hAnsi="Palatino Linotype"/>
          <w:bCs/>
        </w:rPr>
        <w:t>nfrastructure</w:t>
      </w:r>
      <w:r>
        <w:rPr>
          <w:rFonts w:ascii="Palatino Linotype" w:eastAsia="Calibri" w:hAnsi="Palatino Linotype"/>
          <w:bCs/>
        </w:rPr>
        <w:t xml:space="preserve"> institutions was modified. Under the modified framework, among other requirements MIIs are required to have in place BCP and DRS so as to maintain data and transaction integrity. MIIs also are required to have near-site recovery to ensure zero data loss. </w:t>
      </w:r>
    </w:p>
    <w:p w:rsidR="00284E34" w:rsidRPr="001D431F" w:rsidRDefault="00284E34" w:rsidP="00284E34">
      <w:pPr>
        <w:contextualSpacing/>
        <w:jc w:val="both"/>
        <w:rPr>
          <w:rFonts w:ascii="Palatino Linotype" w:eastAsia="Calibri" w:hAnsi="Palatino Linotype"/>
          <w:bCs/>
        </w:rPr>
      </w:pP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596A25">
        <w:rPr>
          <w:rFonts w:ascii="Palatino Linotype" w:eastAsia="Calibri" w:hAnsi="Palatino Linotype"/>
          <w:bCs/>
          <w:i/>
          <w:iCs/>
        </w:rPr>
        <w:t>SEBI/HO/MRD1/DTCS/CIR/P/2021/33</w:t>
      </w:r>
      <w:r w:rsidRPr="001D431F">
        <w:rPr>
          <w:rFonts w:ascii="Palatino Linotype" w:eastAsia="Calibri" w:hAnsi="Palatino Linotype"/>
          <w:bCs/>
          <w:i/>
          <w:iCs/>
        </w:rPr>
        <w:t xml:space="preserve"> Dated March</w:t>
      </w:r>
      <w:r>
        <w:rPr>
          <w:rFonts w:ascii="Palatino Linotype" w:eastAsia="Calibri" w:hAnsi="Palatino Linotype"/>
          <w:bCs/>
          <w:i/>
          <w:iCs/>
        </w:rPr>
        <w:t xml:space="preserve"> 22</w:t>
      </w:r>
      <w:r w:rsidRPr="001D431F">
        <w:rPr>
          <w:rFonts w:ascii="Palatino Linotype" w:eastAsia="Calibri" w:hAnsi="Palatino Linotype"/>
          <w:bCs/>
          <w:i/>
          <w:iCs/>
        </w:rPr>
        <w:t>, 2021</w:t>
      </w:r>
    </w:p>
    <w:p w:rsidR="00284E34" w:rsidRDefault="00284E34" w:rsidP="00284E34">
      <w:pPr>
        <w:jc w:val="both"/>
        <w:rPr>
          <w:rFonts w:ascii="Palatino Linotype" w:eastAsia="Calibri" w:hAnsi="Palatino Linotype"/>
          <w:bCs/>
          <w:i/>
          <w:iCs/>
        </w:rPr>
      </w:pPr>
    </w:p>
    <w:p w:rsidR="00284E34" w:rsidRDefault="00284E34" w:rsidP="00284E34">
      <w:pPr>
        <w:contextualSpacing/>
        <w:jc w:val="both"/>
        <w:rPr>
          <w:rFonts w:ascii="Palatino Linotype" w:eastAsia="Calibri" w:hAnsi="Palatino Linotype"/>
          <w:b/>
          <w:bCs/>
        </w:rPr>
      </w:pPr>
      <w:r>
        <w:rPr>
          <w:rFonts w:ascii="Palatino Linotype" w:eastAsia="Calibri" w:hAnsi="Palatino Linotype"/>
          <w:b/>
          <w:bCs/>
        </w:rPr>
        <w:t xml:space="preserve">9. </w:t>
      </w:r>
      <w:r w:rsidRPr="00596A25">
        <w:rPr>
          <w:rFonts w:ascii="Palatino Linotype" w:eastAsia="Calibri" w:hAnsi="Palatino Linotype"/>
          <w:b/>
          <w:bCs/>
        </w:rPr>
        <w:t xml:space="preserve">Clarification on the </w:t>
      </w:r>
      <w:r>
        <w:rPr>
          <w:rFonts w:ascii="Palatino Linotype" w:eastAsia="Calibri" w:hAnsi="Palatino Linotype"/>
          <w:b/>
          <w:bCs/>
        </w:rPr>
        <w:t>V</w:t>
      </w:r>
      <w:r w:rsidRPr="00596A25">
        <w:rPr>
          <w:rFonts w:ascii="Palatino Linotype" w:eastAsia="Calibri" w:hAnsi="Palatino Linotype"/>
          <w:b/>
          <w:bCs/>
        </w:rPr>
        <w:t xml:space="preserve">aluation of </w:t>
      </w:r>
      <w:r>
        <w:rPr>
          <w:rFonts w:ascii="Palatino Linotype" w:eastAsia="Calibri" w:hAnsi="Palatino Linotype"/>
          <w:b/>
          <w:bCs/>
        </w:rPr>
        <w:t>B</w:t>
      </w:r>
      <w:r w:rsidRPr="00596A25">
        <w:rPr>
          <w:rFonts w:ascii="Palatino Linotype" w:eastAsia="Calibri" w:hAnsi="Palatino Linotype"/>
          <w:b/>
          <w:bCs/>
        </w:rPr>
        <w:t xml:space="preserve">onds issued under Basel III </w:t>
      </w:r>
      <w:r>
        <w:rPr>
          <w:rFonts w:ascii="Palatino Linotype" w:eastAsia="Calibri" w:hAnsi="Palatino Linotype"/>
          <w:b/>
          <w:bCs/>
        </w:rPr>
        <w:t>F</w:t>
      </w:r>
      <w:r w:rsidRPr="00596A25">
        <w:rPr>
          <w:rFonts w:ascii="Palatino Linotype" w:eastAsia="Calibri" w:hAnsi="Palatino Linotype"/>
          <w:b/>
          <w:bCs/>
        </w:rPr>
        <w:t>ramework</w:t>
      </w:r>
    </w:p>
    <w:p w:rsidR="00284E34" w:rsidRPr="001D431F" w:rsidRDefault="00284E34" w:rsidP="00284E34">
      <w:pPr>
        <w:contextualSpacing/>
        <w:jc w:val="both"/>
        <w:rPr>
          <w:rFonts w:ascii="Palatino Linotype" w:eastAsia="Calibri" w:hAnsi="Palatino Linotype"/>
          <w:b/>
        </w:rPr>
      </w:pPr>
    </w:p>
    <w:p w:rsidR="00284E34" w:rsidRDefault="00284E34" w:rsidP="00284E34">
      <w:pPr>
        <w:contextualSpacing/>
        <w:jc w:val="both"/>
        <w:rPr>
          <w:rFonts w:ascii="Palatino Linotype" w:eastAsia="Calibri" w:hAnsi="Palatino Linotype"/>
          <w:bCs/>
        </w:rPr>
      </w:pPr>
      <w:r>
        <w:rPr>
          <w:rFonts w:ascii="Palatino Linotype" w:eastAsia="Calibri" w:hAnsi="Palatino Linotype"/>
          <w:bCs/>
        </w:rPr>
        <w:t xml:space="preserve">As per SEBI circular dated March 10, 2021, maturity of all perpetual bonds shall be treated as 100 years from the date of their issuance for the purposes of valuation.  Based on the representation of the mutual fund industry to consider a glide path for the implementation of the policy, it has been decided that the deemed residual maturity for the purpose of valuation of existing and new bonds issued under Basel III framework will be as prescribed.  </w:t>
      </w:r>
    </w:p>
    <w:p w:rsidR="00284E34" w:rsidRDefault="00284E34" w:rsidP="00284E34">
      <w:pPr>
        <w:contextualSpacing/>
        <w:jc w:val="both"/>
        <w:rPr>
          <w:rFonts w:ascii="Palatino Linotype" w:eastAsia="Calibri" w:hAnsi="Palatino Linotype"/>
          <w:bCs/>
        </w:rPr>
      </w:pPr>
    </w:p>
    <w:p w:rsidR="00284E34" w:rsidRDefault="00284E34" w:rsidP="00284E34">
      <w:pPr>
        <w:contextualSpacing/>
        <w:jc w:val="both"/>
        <w:rPr>
          <w:rFonts w:ascii="Palatino Linotype" w:eastAsia="Calibri" w:hAnsi="Palatino Linotype"/>
          <w:bCs/>
        </w:rPr>
      </w:pPr>
      <w:r>
        <w:rPr>
          <w:rFonts w:ascii="Palatino Linotype" w:eastAsia="Calibri" w:hAnsi="Palatino Linotype"/>
          <w:bCs/>
        </w:rPr>
        <w:t xml:space="preserve">In the financial year ended March 2022, the AT-1 bonds deemed residual maturity will be 10 years and for Basel III Tier 2 bonds it will be 10 years or contractual maturity whichever is earlier.  From April to September 2022, it will be 20 years for AT-1 bonds and contractual maturity for Tier 2 bonds.  </w:t>
      </w:r>
    </w:p>
    <w:p w:rsidR="00284E34" w:rsidRDefault="00284E34" w:rsidP="00284E34">
      <w:pPr>
        <w:contextualSpacing/>
        <w:jc w:val="both"/>
        <w:rPr>
          <w:rFonts w:ascii="Palatino Linotype" w:eastAsia="Calibri" w:hAnsi="Palatino Linotype"/>
          <w:bCs/>
        </w:rPr>
      </w:pPr>
    </w:p>
    <w:p w:rsidR="00284E34" w:rsidRDefault="00284E34" w:rsidP="00284E34">
      <w:pPr>
        <w:contextualSpacing/>
        <w:jc w:val="both"/>
        <w:rPr>
          <w:rFonts w:ascii="Palatino Linotype" w:eastAsia="Calibri" w:hAnsi="Palatino Linotype"/>
          <w:bCs/>
        </w:rPr>
      </w:pPr>
      <w:r w:rsidRPr="00F6146A">
        <w:rPr>
          <w:rFonts w:ascii="Palatino Linotype" w:eastAsia="Calibri" w:hAnsi="Palatino Linotype"/>
          <w:bCs/>
        </w:rPr>
        <w:t xml:space="preserve">Further, AMFI </w:t>
      </w:r>
      <w:r>
        <w:rPr>
          <w:rFonts w:ascii="Palatino Linotype" w:eastAsia="Calibri" w:hAnsi="Palatino Linotype"/>
          <w:bCs/>
        </w:rPr>
        <w:t>wa</w:t>
      </w:r>
      <w:r w:rsidRPr="00F6146A">
        <w:rPr>
          <w:rFonts w:ascii="Palatino Linotype" w:eastAsia="Calibri" w:hAnsi="Palatino Linotype"/>
          <w:bCs/>
        </w:rPr>
        <w:t xml:space="preserve">s advised to issue </w:t>
      </w:r>
      <w:r>
        <w:rPr>
          <w:rFonts w:ascii="Palatino Linotype" w:eastAsia="Calibri" w:hAnsi="Palatino Linotype"/>
          <w:bCs/>
        </w:rPr>
        <w:t>d</w:t>
      </w:r>
      <w:r w:rsidRPr="00F6146A">
        <w:rPr>
          <w:rFonts w:ascii="Palatino Linotype" w:eastAsia="Calibri" w:hAnsi="Palatino Linotype"/>
          <w:bCs/>
        </w:rPr>
        <w:t>etailed guidelines  with  respect  to  valuation  of bonds issued under Basel III framework, which shall be implemented by April 01, 2021.</w:t>
      </w:r>
    </w:p>
    <w:p w:rsidR="00284E34" w:rsidRDefault="00284E34" w:rsidP="00284E34">
      <w:pPr>
        <w:contextualSpacing/>
        <w:jc w:val="both"/>
        <w:rPr>
          <w:rFonts w:ascii="Palatino Linotype" w:eastAsia="Calibri" w:hAnsi="Palatino Linotype"/>
          <w:bCs/>
        </w:rPr>
      </w:pP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596A25">
        <w:rPr>
          <w:rFonts w:ascii="Palatino Linotype" w:eastAsia="Calibri" w:hAnsi="Palatino Linotype"/>
          <w:bCs/>
          <w:i/>
          <w:iCs/>
        </w:rPr>
        <w:t>SEBI/HO/IMD/DF4/CIR/P/2021/034</w:t>
      </w:r>
      <w:r w:rsidRPr="001D431F">
        <w:rPr>
          <w:rFonts w:ascii="Palatino Linotype" w:eastAsia="Calibri" w:hAnsi="Palatino Linotype"/>
          <w:bCs/>
          <w:i/>
          <w:iCs/>
        </w:rPr>
        <w:t xml:space="preserve"> Dated March</w:t>
      </w:r>
      <w:r>
        <w:rPr>
          <w:rFonts w:ascii="Palatino Linotype" w:eastAsia="Calibri" w:hAnsi="Palatino Linotype"/>
          <w:bCs/>
          <w:i/>
          <w:iCs/>
        </w:rPr>
        <w:t xml:space="preserve"> 22</w:t>
      </w:r>
      <w:r w:rsidRPr="001D431F">
        <w:rPr>
          <w:rFonts w:ascii="Palatino Linotype" w:eastAsia="Calibri" w:hAnsi="Palatino Linotype"/>
          <w:bCs/>
          <w:i/>
          <w:iCs/>
        </w:rPr>
        <w:t>, 2021</w:t>
      </w:r>
    </w:p>
    <w:p w:rsidR="00284E34" w:rsidRDefault="00284E34" w:rsidP="00284E34">
      <w:pPr>
        <w:jc w:val="both"/>
        <w:rPr>
          <w:rFonts w:ascii="Palatino Linotype" w:eastAsia="Calibri" w:hAnsi="Palatino Linotype"/>
          <w:bCs/>
          <w:i/>
          <w:iCs/>
        </w:rPr>
      </w:pPr>
    </w:p>
    <w:p w:rsidR="00284E34" w:rsidRPr="00A658AE" w:rsidRDefault="00284E34" w:rsidP="00284E34">
      <w:pPr>
        <w:contextualSpacing/>
        <w:jc w:val="both"/>
        <w:rPr>
          <w:rFonts w:ascii="Palatino Linotype" w:eastAsia="Calibri" w:hAnsi="Palatino Linotype"/>
          <w:b/>
          <w:bCs/>
        </w:rPr>
      </w:pPr>
      <w:r>
        <w:rPr>
          <w:rFonts w:ascii="Palatino Linotype" w:eastAsia="Calibri" w:hAnsi="Palatino Linotype"/>
          <w:b/>
          <w:bCs/>
        </w:rPr>
        <w:t>10</w:t>
      </w:r>
      <w:r w:rsidRPr="00A658AE">
        <w:rPr>
          <w:rFonts w:ascii="Palatino Linotype" w:eastAsia="Calibri" w:hAnsi="Palatino Linotype"/>
          <w:b/>
          <w:bCs/>
        </w:rPr>
        <w:t>. Review of Delivery Default Norms</w:t>
      </w:r>
    </w:p>
    <w:p w:rsidR="00284E34" w:rsidRPr="00A658AE" w:rsidRDefault="00284E34" w:rsidP="00284E34">
      <w:pPr>
        <w:contextualSpacing/>
        <w:jc w:val="both"/>
        <w:rPr>
          <w:rFonts w:ascii="Palatino Linotype" w:eastAsia="Calibri" w:hAnsi="Palatino Linotype"/>
          <w:b/>
        </w:rPr>
      </w:pPr>
    </w:p>
    <w:p w:rsidR="00284E34" w:rsidRPr="00A658AE" w:rsidRDefault="00284E34" w:rsidP="00284E34">
      <w:pPr>
        <w:jc w:val="both"/>
        <w:rPr>
          <w:rFonts w:ascii="Palatino Linotype" w:hAnsi="Palatino Linotype" w:cs="Arial"/>
          <w:sz w:val="23"/>
          <w:szCs w:val="23"/>
          <w:lang w:val="en-IN" w:eastAsia="en-IN" w:bidi="hi-IN"/>
        </w:rPr>
      </w:pPr>
      <w:r w:rsidRPr="00A658AE">
        <w:rPr>
          <w:rFonts w:ascii="Palatino Linotype" w:hAnsi="Palatino Linotype" w:cs="Arial"/>
          <w:sz w:val="23"/>
          <w:szCs w:val="23"/>
        </w:rPr>
        <w:t>Extant delivery default norms in commodity derivative segment were examined in consultation with Clearing Corporation. These norms will be effective from the first trading day of May 2021.</w:t>
      </w:r>
    </w:p>
    <w:p w:rsidR="00284E34" w:rsidRPr="00A658AE" w:rsidRDefault="00284E34" w:rsidP="00284E34">
      <w:pPr>
        <w:contextualSpacing/>
        <w:jc w:val="both"/>
        <w:rPr>
          <w:rFonts w:ascii="Palatino Linotype" w:eastAsia="Calibri" w:hAnsi="Palatino Linotype"/>
          <w:bCs/>
        </w:rPr>
      </w:pP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596A25">
        <w:rPr>
          <w:rFonts w:ascii="Palatino Linotype" w:eastAsia="Calibri" w:hAnsi="Palatino Linotype"/>
          <w:bCs/>
          <w:i/>
          <w:iCs/>
        </w:rPr>
        <w:t>SEBI/HO/CDMRD/DRMP/CIR/P/2021/35</w:t>
      </w:r>
      <w:r>
        <w:rPr>
          <w:rFonts w:ascii="Palatino Linotype" w:eastAsia="Calibri" w:hAnsi="Palatino Linotype"/>
          <w:bCs/>
          <w:i/>
          <w:iCs/>
        </w:rPr>
        <w:t xml:space="preserve"> </w:t>
      </w:r>
      <w:r w:rsidRPr="001D431F">
        <w:rPr>
          <w:rFonts w:ascii="Palatino Linotype" w:eastAsia="Calibri" w:hAnsi="Palatino Linotype"/>
          <w:bCs/>
          <w:i/>
          <w:iCs/>
        </w:rPr>
        <w:t>Dated March</w:t>
      </w:r>
      <w:r>
        <w:rPr>
          <w:rFonts w:ascii="Palatino Linotype" w:eastAsia="Calibri" w:hAnsi="Palatino Linotype"/>
          <w:bCs/>
          <w:i/>
          <w:iCs/>
        </w:rPr>
        <w:t xml:space="preserve"> 23</w:t>
      </w:r>
      <w:r w:rsidRPr="001D431F">
        <w:rPr>
          <w:rFonts w:ascii="Palatino Linotype" w:eastAsia="Calibri" w:hAnsi="Palatino Linotype"/>
          <w:bCs/>
          <w:i/>
          <w:iCs/>
        </w:rPr>
        <w:t>, 2021</w:t>
      </w:r>
    </w:p>
    <w:p w:rsidR="00284E34" w:rsidRDefault="00284E34" w:rsidP="00284E34">
      <w:pPr>
        <w:jc w:val="both"/>
        <w:rPr>
          <w:rFonts w:ascii="Palatino Linotype" w:eastAsia="Calibri" w:hAnsi="Palatino Linotype"/>
          <w:bCs/>
          <w:i/>
          <w:iCs/>
        </w:rPr>
      </w:pPr>
    </w:p>
    <w:p w:rsidR="00284E34" w:rsidRPr="00A658AE" w:rsidRDefault="00284E34" w:rsidP="00284E34">
      <w:pPr>
        <w:contextualSpacing/>
        <w:jc w:val="both"/>
        <w:rPr>
          <w:rFonts w:ascii="Palatino Linotype" w:eastAsia="Calibri" w:hAnsi="Palatino Linotype"/>
          <w:b/>
          <w:bCs/>
        </w:rPr>
      </w:pPr>
      <w:r>
        <w:rPr>
          <w:rFonts w:ascii="Palatino Linotype" w:eastAsia="Calibri" w:hAnsi="Palatino Linotype"/>
          <w:b/>
          <w:bCs/>
        </w:rPr>
        <w:t>11</w:t>
      </w:r>
      <w:r w:rsidRPr="00A658AE">
        <w:rPr>
          <w:rFonts w:ascii="Palatino Linotype" w:eastAsia="Calibri" w:hAnsi="Palatino Linotype"/>
          <w:b/>
          <w:bCs/>
        </w:rPr>
        <w:t>. Combating Financing of Terrorism under Unlawful Activities (Prevention) Act, 1967 – Directions to Stock Exchanges, Depositories and all registered intermediaries</w:t>
      </w:r>
    </w:p>
    <w:p w:rsidR="00284E34" w:rsidRPr="00A658AE" w:rsidRDefault="00284E34" w:rsidP="00284E34">
      <w:pPr>
        <w:contextualSpacing/>
        <w:jc w:val="both"/>
        <w:rPr>
          <w:rFonts w:ascii="Palatino Linotype" w:eastAsia="Calibri" w:hAnsi="Palatino Linotype"/>
          <w:b/>
        </w:rPr>
      </w:pPr>
    </w:p>
    <w:p w:rsidR="00284E34" w:rsidRPr="00A658AE" w:rsidRDefault="00284E34" w:rsidP="00284E34">
      <w:pPr>
        <w:pStyle w:val="Default"/>
        <w:rPr>
          <w:rFonts w:ascii="Palatino Linotype" w:hAnsi="Palatino Linotype"/>
        </w:rPr>
      </w:pPr>
    </w:p>
    <w:p w:rsidR="00284E34" w:rsidRPr="00512839" w:rsidRDefault="00284E34" w:rsidP="00284E34">
      <w:pPr>
        <w:shd w:val="clear" w:color="auto" w:fill="FFFFFF"/>
        <w:jc w:val="both"/>
        <w:rPr>
          <w:rFonts w:ascii="Palatino Linotype" w:hAnsi="Palatino Linotype"/>
        </w:rPr>
      </w:pPr>
      <w:r w:rsidRPr="00A658AE">
        <w:rPr>
          <w:rFonts w:ascii="Palatino Linotype" w:hAnsi="Palatino Linotype"/>
        </w:rPr>
        <w:t>In order to ensure expeditious and effective implementation of the provisions of Section 51A</w:t>
      </w:r>
      <w:r>
        <w:rPr>
          <w:rFonts w:ascii="Palatino Linotype" w:hAnsi="Palatino Linotype"/>
        </w:rPr>
        <w:t xml:space="preserve"> of </w:t>
      </w:r>
      <w:r w:rsidRPr="00512839">
        <w:rPr>
          <w:rFonts w:ascii="Palatino Linotype" w:hAnsi="Palatino Linotype"/>
        </w:rPr>
        <w:t>Unlawful Activities (Prevention Act,1967,</w:t>
      </w:r>
      <w:r w:rsidRPr="00A658AE">
        <w:rPr>
          <w:rFonts w:ascii="Palatino Linotype" w:hAnsi="Palatino Linotype"/>
        </w:rPr>
        <w:t xml:space="preserve"> GOI has outlined a revised procedure through an order dated February 02, 2021 superseding the earlier orders and guidelines given on the subject. </w:t>
      </w:r>
    </w:p>
    <w:p w:rsidR="00284E34" w:rsidRPr="00A658AE" w:rsidRDefault="00284E34" w:rsidP="00284E34">
      <w:pPr>
        <w:pStyle w:val="Default"/>
        <w:jc w:val="both"/>
        <w:rPr>
          <w:rFonts w:ascii="Palatino Linotype" w:hAnsi="Palatino Linotype"/>
        </w:rPr>
      </w:pPr>
    </w:p>
    <w:p w:rsidR="00284E34" w:rsidRPr="00A658AE" w:rsidRDefault="00284E34" w:rsidP="00284E34">
      <w:pPr>
        <w:pStyle w:val="Default"/>
        <w:jc w:val="both"/>
        <w:rPr>
          <w:rFonts w:ascii="Palatino Linotype" w:hAnsi="Palatino Linotype"/>
        </w:rPr>
      </w:pPr>
      <w:r w:rsidRPr="00A658AE">
        <w:rPr>
          <w:rFonts w:ascii="Palatino Linotype" w:hAnsi="Palatino Linotype"/>
        </w:rPr>
        <w:t xml:space="preserve">Order dated February 02, 2021 issued by GOI in relation to implementation of Section 51A of the UAPA, 1967 was brought to notice of all intermediaries registered with SEBI for strict compliance. </w:t>
      </w:r>
    </w:p>
    <w:p w:rsidR="00284E34" w:rsidRPr="00A658AE" w:rsidRDefault="00284E34" w:rsidP="00284E34">
      <w:pPr>
        <w:pStyle w:val="Default"/>
        <w:rPr>
          <w:rFonts w:ascii="Palatino Linotype" w:hAnsi="Palatino Linotype"/>
          <w:bCs/>
        </w:rPr>
      </w:pPr>
      <w:r w:rsidRPr="00A658AE">
        <w:rPr>
          <w:rFonts w:ascii="Palatino Linotype" w:hAnsi="Palatino Linotype"/>
        </w:rPr>
        <w:t xml:space="preserve"> </w:t>
      </w: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596A25">
        <w:rPr>
          <w:rFonts w:ascii="Palatino Linotype" w:eastAsia="Calibri" w:hAnsi="Palatino Linotype"/>
          <w:bCs/>
          <w:i/>
          <w:iCs/>
        </w:rPr>
        <w:t>SEBI/HO/MIRSD/DOP/CIR/P/2021/36</w:t>
      </w:r>
      <w:r w:rsidRPr="001D431F">
        <w:rPr>
          <w:rFonts w:ascii="Palatino Linotype" w:eastAsia="Calibri" w:hAnsi="Palatino Linotype"/>
          <w:bCs/>
          <w:i/>
          <w:iCs/>
        </w:rPr>
        <w:t xml:space="preserve"> Dated March</w:t>
      </w:r>
      <w:r>
        <w:rPr>
          <w:rFonts w:ascii="Palatino Linotype" w:eastAsia="Calibri" w:hAnsi="Palatino Linotype"/>
          <w:bCs/>
          <w:i/>
          <w:iCs/>
        </w:rPr>
        <w:t xml:space="preserve"> 25</w:t>
      </w:r>
      <w:r w:rsidRPr="001D431F">
        <w:rPr>
          <w:rFonts w:ascii="Palatino Linotype" w:eastAsia="Calibri" w:hAnsi="Palatino Linotype"/>
          <w:bCs/>
          <w:i/>
          <w:iCs/>
        </w:rPr>
        <w:t>, 2021</w:t>
      </w:r>
    </w:p>
    <w:p w:rsidR="00284E34" w:rsidRDefault="00284E34" w:rsidP="00284E34">
      <w:pPr>
        <w:jc w:val="both"/>
        <w:rPr>
          <w:rFonts w:ascii="Palatino Linotype" w:eastAsia="Calibri" w:hAnsi="Palatino Linotype"/>
          <w:bCs/>
          <w:i/>
          <w:iCs/>
        </w:rPr>
      </w:pPr>
    </w:p>
    <w:p w:rsidR="00284E34" w:rsidRPr="00A658AE" w:rsidRDefault="00284E34" w:rsidP="00284E34">
      <w:pPr>
        <w:contextualSpacing/>
        <w:jc w:val="both"/>
        <w:rPr>
          <w:rFonts w:ascii="Palatino Linotype" w:eastAsia="Calibri" w:hAnsi="Palatino Linotype"/>
          <w:b/>
          <w:bCs/>
        </w:rPr>
      </w:pPr>
      <w:r>
        <w:rPr>
          <w:rFonts w:ascii="Palatino Linotype" w:eastAsia="Calibri" w:hAnsi="Palatino Linotype"/>
          <w:b/>
          <w:bCs/>
        </w:rPr>
        <w:t>12</w:t>
      </w:r>
      <w:r w:rsidRPr="00A658AE">
        <w:rPr>
          <w:rFonts w:ascii="Palatino Linotype" w:eastAsia="Calibri" w:hAnsi="Palatino Linotype"/>
          <w:b/>
          <w:bCs/>
        </w:rPr>
        <w:t>. Prior Approval for Change in control: Transfer of Shareholdings among Immediate Relatives and Transmission of Shareholdings and their effect on Change in Control</w:t>
      </w:r>
    </w:p>
    <w:p w:rsidR="00284E34" w:rsidRPr="00A658AE" w:rsidRDefault="00284E34" w:rsidP="00284E34">
      <w:pPr>
        <w:pStyle w:val="Default"/>
        <w:rPr>
          <w:rFonts w:ascii="Palatino Linotype" w:hAnsi="Palatino Linotype"/>
        </w:rPr>
      </w:pPr>
    </w:p>
    <w:p w:rsidR="00284E34" w:rsidRPr="00013BA3" w:rsidRDefault="00284E34" w:rsidP="00013BA3">
      <w:pPr>
        <w:shd w:val="clear" w:color="auto" w:fill="FFFFFF"/>
        <w:jc w:val="both"/>
        <w:rPr>
          <w:rFonts w:ascii="Palatino Linotype" w:hAnsi="Palatino Linotype" w:cs="Arial"/>
          <w:sz w:val="23"/>
          <w:szCs w:val="23"/>
        </w:rPr>
      </w:pPr>
      <w:r w:rsidRPr="00013BA3">
        <w:rPr>
          <w:rFonts w:ascii="Palatino Linotype" w:hAnsi="Palatino Linotype"/>
        </w:rPr>
        <w:t xml:space="preserve">The procedure for seeking prior approval for change in control from SEBI was specified vide circular dated August 02, 2011. Certain clarifications were issued regarding </w:t>
      </w:r>
      <w:r w:rsidRPr="00013BA3">
        <w:rPr>
          <w:rFonts w:ascii="Palatino Linotype" w:hAnsi="Palatino Linotype" w:cs="Arial"/>
          <w:sz w:val="23"/>
          <w:szCs w:val="23"/>
        </w:rPr>
        <w:t>with</w:t>
      </w:r>
      <w:r w:rsidR="00512839" w:rsidRPr="00013BA3">
        <w:rPr>
          <w:rFonts w:ascii="Palatino Linotype" w:hAnsi="Palatino Linotype" w:cs="Arial"/>
          <w:sz w:val="23"/>
          <w:szCs w:val="23"/>
        </w:rPr>
        <w:t xml:space="preserve"> </w:t>
      </w:r>
      <w:r w:rsidRPr="00013BA3">
        <w:rPr>
          <w:rFonts w:ascii="Palatino Linotype" w:hAnsi="Palatino Linotype" w:cs="Arial"/>
          <w:sz w:val="23"/>
          <w:szCs w:val="23"/>
        </w:rPr>
        <w:t>respect  to  transfer  of  shareholding among  immediate  relatives  and  transmission  of shareholding</w:t>
      </w:r>
      <w:r w:rsidRPr="00013BA3">
        <w:rPr>
          <w:rFonts w:ascii="Palatino Linotype" w:hAnsi="Palatino Linotype" w:cs="Arial"/>
          <w:sz w:val="23"/>
          <w:szCs w:val="23"/>
          <w:shd w:val="clear" w:color="auto" w:fill="FFFFFF"/>
        </w:rPr>
        <w:t xml:space="preserve"> for  change  in  control</w:t>
      </w:r>
      <w:r w:rsidRPr="00013BA3">
        <w:rPr>
          <w:rFonts w:ascii="Palatino Linotype" w:hAnsi="Palatino Linotype" w:cs="Arial"/>
          <w:sz w:val="23"/>
          <w:szCs w:val="23"/>
        </w:rPr>
        <w:t>.</w:t>
      </w:r>
    </w:p>
    <w:p w:rsidR="00284E34" w:rsidRPr="00A658AE" w:rsidRDefault="00284E34" w:rsidP="00284E34">
      <w:pPr>
        <w:contextualSpacing/>
        <w:jc w:val="both"/>
        <w:rPr>
          <w:rFonts w:ascii="Palatino Linotype" w:eastAsia="Calibri" w:hAnsi="Palatino Linotype"/>
          <w:bCs/>
        </w:rPr>
      </w:pP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596A25">
        <w:rPr>
          <w:rFonts w:ascii="Palatino Linotype" w:eastAsia="Calibri" w:hAnsi="Palatino Linotype"/>
          <w:bCs/>
          <w:i/>
          <w:iCs/>
        </w:rPr>
        <w:t>SEBI/HO/MIRSD/DOR/CIR/P/2021/42</w:t>
      </w:r>
      <w:r w:rsidRPr="001D431F">
        <w:rPr>
          <w:rFonts w:ascii="Palatino Linotype" w:eastAsia="Calibri" w:hAnsi="Palatino Linotype"/>
          <w:bCs/>
          <w:i/>
          <w:iCs/>
        </w:rPr>
        <w:t xml:space="preserve"> Dated March</w:t>
      </w:r>
      <w:r>
        <w:rPr>
          <w:rFonts w:ascii="Palatino Linotype" w:eastAsia="Calibri" w:hAnsi="Palatino Linotype"/>
          <w:bCs/>
          <w:i/>
          <w:iCs/>
        </w:rPr>
        <w:t xml:space="preserve"> 25</w:t>
      </w:r>
      <w:r w:rsidRPr="001D431F">
        <w:rPr>
          <w:rFonts w:ascii="Palatino Linotype" w:eastAsia="Calibri" w:hAnsi="Palatino Linotype"/>
          <w:bCs/>
          <w:i/>
          <w:iCs/>
        </w:rPr>
        <w:t>, 2021</w:t>
      </w:r>
    </w:p>
    <w:p w:rsidR="00284E34" w:rsidRDefault="00284E34" w:rsidP="00284E34">
      <w:pPr>
        <w:jc w:val="both"/>
        <w:rPr>
          <w:rFonts w:ascii="Palatino Linotype" w:eastAsia="Calibri" w:hAnsi="Palatino Linotype"/>
          <w:bCs/>
          <w:i/>
          <w:iCs/>
        </w:rPr>
      </w:pPr>
    </w:p>
    <w:p w:rsidR="00284E34" w:rsidRDefault="00284E34" w:rsidP="00284E34">
      <w:pPr>
        <w:contextualSpacing/>
        <w:jc w:val="both"/>
        <w:rPr>
          <w:rFonts w:ascii="Palatino Linotype" w:eastAsia="Calibri" w:hAnsi="Palatino Linotype"/>
          <w:b/>
          <w:bCs/>
        </w:rPr>
      </w:pPr>
      <w:r>
        <w:rPr>
          <w:rFonts w:ascii="Palatino Linotype" w:eastAsia="Calibri" w:hAnsi="Palatino Linotype"/>
          <w:b/>
          <w:bCs/>
        </w:rPr>
        <w:t xml:space="preserve">13. </w:t>
      </w:r>
      <w:r w:rsidRPr="00596A25">
        <w:rPr>
          <w:rFonts w:ascii="Palatino Linotype" w:eastAsia="Calibri" w:hAnsi="Palatino Linotype"/>
          <w:b/>
          <w:bCs/>
        </w:rPr>
        <w:t xml:space="preserve">Transfer of </w:t>
      </w:r>
      <w:r>
        <w:rPr>
          <w:rFonts w:ascii="Palatino Linotype" w:eastAsia="Calibri" w:hAnsi="Palatino Linotype"/>
          <w:b/>
          <w:bCs/>
        </w:rPr>
        <w:t>B</w:t>
      </w:r>
      <w:r w:rsidRPr="00596A25">
        <w:rPr>
          <w:rFonts w:ascii="Palatino Linotype" w:eastAsia="Calibri" w:hAnsi="Palatino Linotype"/>
          <w:b/>
          <w:bCs/>
        </w:rPr>
        <w:t xml:space="preserve">usiness by SEBI </w:t>
      </w:r>
      <w:r>
        <w:rPr>
          <w:rFonts w:ascii="Palatino Linotype" w:eastAsia="Calibri" w:hAnsi="Palatino Linotype"/>
          <w:b/>
          <w:bCs/>
        </w:rPr>
        <w:t>R</w:t>
      </w:r>
      <w:r w:rsidRPr="00596A25">
        <w:rPr>
          <w:rFonts w:ascii="Palatino Linotype" w:eastAsia="Calibri" w:hAnsi="Palatino Linotype"/>
          <w:b/>
          <w:bCs/>
        </w:rPr>
        <w:t xml:space="preserve">egistered </w:t>
      </w:r>
      <w:r>
        <w:rPr>
          <w:rFonts w:ascii="Palatino Linotype" w:eastAsia="Calibri" w:hAnsi="Palatino Linotype"/>
          <w:b/>
          <w:bCs/>
        </w:rPr>
        <w:t>I</w:t>
      </w:r>
      <w:r w:rsidRPr="00596A25">
        <w:rPr>
          <w:rFonts w:ascii="Palatino Linotype" w:eastAsia="Calibri" w:hAnsi="Palatino Linotype"/>
          <w:b/>
          <w:bCs/>
        </w:rPr>
        <w:t xml:space="preserve">ntermediaries to other </w:t>
      </w:r>
      <w:r>
        <w:rPr>
          <w:rFonts w:ascii="Palatino Linotype" w:eastAsia="Calibri" w:hAnsi="Palatino Linotype"/>
          <w:b/>
          <w:bCs/>
        </w:rPr>
        <w:t>L</w:t>
      </w:r>
      <w:r w:rsidRPr="00596A25">
        <w:rPr>
          <w:rFonts w:ascii="Palatino Linotype" w:eastAsia="Calibri" w:hAnsi="Palatino Linotype"/>
          <w:b/>
          <w:bCs/>
        </w:rPr>
        <w:t xml:space="preserve">egal </w:t>
      </w:r>
      <w:r>
        <w:rPr>
          <w:rFonts w:ascii="Palatino Linotype" w:eastAsia="Calibri" w:hAnsi="Palatino Linotype"/>
          <w:b/>
          <w:bCs/>
        </w:rPr>
        <w:t>E</w:t>
      </w:r>
      <w:r w:rsidRPr="00596A25">
        <w:rPr>
          <w:rFonts w:ascii="Palatino Linotype" w:eastAsia="Calibri" w:hAnsi="Palatino Linotype"/>
          <w:b/>
          <w:bCs/>
        </w:rPr>
        <w:t>ntity</w:t>
      </w:r>
    </w:p>
    <w:p w:rsidR="00284E34" w:rsidRPr="001D431F" w:rsidRDefault="00284E34" w:rsidP="00284E34">
      <w:pPr>
        <w:contextualSpacing/>
        <w:jc w:val="both"/>
        <w:rPr>
          <w:rFonts w:ascii="Palatino Linotype" w:eastAsia="Calibri" w:hAnsi="Palatino Linotype"/>
          <w:b/>
        </w:rPr>
      </w:pPr>
    </w:p>
    <w:p w:rsidR="00284E34" w:rsidRPr="00831E77" w:rsidRDefault="00284E34" w:rsidP="00284E34">
      <w:pPr>
        <w:contextualSpacing/>
        <w:jc w:val="both"/>
        <w:rPr>
          <w:rFonts w:ascii="Palatino Linotype" w:eastAsia="Calibri" w:hAnsi="Palatino Linotype"/>
          <w:bCs/>
        </w:rPr>
      </w:pPr>
      <w:r>
        <w:rPr>
          <w:rFonts w:ascii="Palatino Linotype" w:eastAsia="Calibri" w:hAnsi="Palatino Linotype"/>
          <w:bCs/>
        </w:rPr>
        <w:t xml:space="preserve">It is </w:t>
      </w:r>
      <w:r w:rsidRPr="00831E77">
        <w:rPr>
          <w:rFonts w:ascii="Palatino Linotype" w:eastAsia="Calibri" w:hAnsi="Palatino Linotype"/>
          <w:bCs/>
        </w:rPr>
        <w:t>clarified that the transferee will  obtain fresh registration from the regulator in the same capacity before the transfer of business if it is not registered with the markets watchdog in the same capacity.</w:t>
      </w:r>
      <w:r>
        <w:rPr>
          <w:rFonts w:ascii="Palatino Linotype" w:eastAsia="Calibri" w:hAnsi="Palatino Linotype"/>
          <w:bCs/>
        </w:rPr>
        <w:t xml:space="preserve">  A</w:t>
      </w:r>
      <w:r w:rsidRPr="00831E77">
        <w:rPr>
          <w:rFonts w:ascii="Palatino Linotype" w:eastAsia="Calibri" w:hAnsi="Palatino Linotype"/>
          <w:bCs/>
        </w:rPr>
        <w:t xml:space="preserve"> new registration number </w:t>
      </w:r>
      <w:r>
        <w:rPr>
          <w:rFonts w:ascii="Palatino Linotype" w:eastAsia="Calibri" w:hAnsi="Palatino Linotype"/>
          <w:bCs/>
        </w:rPr>
        <w:t xml:space="preserve">will be issued </w:t>
      </w:r>
      <w:r w:rsidRPr="00831E77">
        <w:rPr>
          <w:rFonts w:ascii="Palatino Linotype" w:eastAsia="Calibri" w:hAnsi="Palatino Linotype"/>
          <w:bCs/>
        </w:rPr>
        <w:t>to transferee different from the transferor's registration number if "business is transferred through regulatory process (pursuant to merger/amalgamation/corporate restructuring by way of order of primary regulator/govt/NCLT, etc</w:t>
      </w:r>
      <w:r>
        <w:rPr>
          <w:rFonts w:ascii="Palatino Linotype" w:eastAsia="Calibri" w:hAnsi="Palatino Linotype"/>
          <w:bCs/>
        </w:rPr>
        <w:t>.</w:t>
      </w:r>
      <w:r w:rsidRPr="00831E77">
        <w:rPr>
          <w:rFonts w:ascii="Palatino Linotype" w:eastAsia="Calibri" w:hAnsi="Palatino Linotype"/>
          <w:bCs/>
        </w:rPr>
        <w:t>) or non-regulatory process (as per private agreement/MOU pursuant to commercial dealing/private arrangement) irrespective of transferor continues to exist or ceases to exist after the said transfer".</w:t>
      </w:r>
    </w:p>
    <w:p w:rsidR="00284E34" w:rsidRDefault="00284E34" w:rsidP="00284E34">
      <w:pPr>
        <w:contextualSpacing/>
        <w:jc w:val="both"/>
        <w:rPr>
          <w:rFonts w:ascii="Palatino Linotype" w:eastAsia="Calibri" w:hAnsi="Palatino Linotype"/>
          <w:bCs/>
        </w:rPr>
      </w:pPr>
    </w:p>
    <w:p w:rsidR="00284E34" w:rsidRPr="00831E77" w:rsidRDefault="00284E34" w:rsidP="00284E34">
      <w:pPr>
        <w:contextualSpacing/>
        <w:jc w:val="both"/>
        <w:rPr>
          <w:rFonts w:ascii="Palatino Linotype" w:eastAsia="Calibri" w:hAnsi="Palatino Linotype"/>
          <w:bCs/>
        </w:rPr>
      </w:pPr>
      <w:r w:rsidRPr="00831E77">
        <w:rPr>
          <w:rFonts w:ascii="Palatino Linotype" w:eastAsia="Calibri" w:hAnsi="Palatino Linotype"/>
          <w:bCs/>
        </w:rPr>
        <w:t>In case of change in control pursuant to both regulatory process and non-regulatory process, prior approval and fresh registration will be obtained</w:t>
      </w:r>
      <w:r>
        <w:rPr>
          <w:rFonts w:ascii="Palatino Linotype" w:eastAsia="Calibri" w:hAnsi="Palatino Linotype"/>
          <w:bCs/>
        </w:rPr>
        <w:t>.</w:t>
      </w:r>
    </w:p>
    <w:p w:rsidR="00284E34" w:rsidRPr="00831E77" w:rsidRDefault="00284E34" w:rsidP="00284E34">
      <w:pPr>
        <w:contextualSpacing/>
        <w:jc w:val="both"/>
        <w:rPr>
          <w:rFonts w:ascii="Palatino Linotype" w:eastAsia="Calibri" w:hAnsi="Palatino Linotype"/>
          <w:bCs/>
        </w:rPr>
      </w:pP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596A25">
        <w:rPr>
          <w:rFonts w:ascii="Palatino Linotype" w:eastAsia="Calibri" w:hAnsi="Palatino Linotype"/>
          <w:bCs/>
          <w:i/>
          <w:iCs/>
        </w:rPr>
        <w:t>SEBI/HO/MIRSD/DOR/CIR/P/2021/46</w:t>
      </w:r>
      <w:r w:rsidRPr="001D431F">
        <w:rPr>
          <w:rFonts w:ascii="Palatino Linotype" w:eastAsia="Calibri" w:hAnsi="Palatino Linotype"/>
          <w:bCs/>
          <w:i/>
          <w:iCs/>
        </w:rPr>
        <w:t xml:space="preserve"> Dated March</w:t>
      </w:r>
      <w:r>
        <w:rPr>
          <w:rFonts w:ascii="Palatino Linotype" w:eastAsia="Calibri" w:hAnsi="Palatino Linotype"/>
          <w:bCs/>
          <w:i/>
          <w:iCs/>
        </w:rPr>
        <w:t xml:space="preserve"> 26</w:t>
      </w:r>
      <w:r w:rsidRPr="001D431F">
        <w:rPr>
          <w:rFonts w:ascii="Palatino Linotype" w:eastAsia="Calibri" w:hAnsi="Palatino Linotype"/>
          <w:bCs/>
          <w:i/>
          <w:iCs/>
        </w:rPr>
        <w:t>, 2021</w:t>
      </w:r>
    </w:p>
    <w:p w:rsidR="00284E34" w:rsidRPr="001D431F" w:rsidRDefault="00284E34" w:rsidP="00284E34">
      <w:pPr>
        <w:jc w:val="both"/>
        <w:rPr>
          <w:rFonts w:ascii="Palatino Linotype" w:eastAsia="Calibri" w:hAnsi="Palatino Linotype"/>
          <w:bCs/>
          <w:i/>
          <w:iCs/>
        </w:rPr>
      </w:pPr>
    </w:p>
    <w:p w:rsidR="00284E34" w:rsidRDefault="00284E34" w:rsidP="00284E34">
      <w:pPr>
        <w:contextualSpacing/>
        <w:jc w:val="both"/>
        <w:rPr>
          <w:rFonts w:ascii="Palatino Linotype" w:eastAsia="Calibri" w:hAnsi="Palatino Linotype"/>
          <w:b/>
          <w:bCs/>
        </w:rPr>
      </w:pPr>
      <w:r>
        <w:rPr>
          <w:rFonts w:ascii="Palatino Linotype" w:eastAsia="Calibri" w:hAnsi="Palatino Linotype"/>
          <w:b/>
          <w:bCs/>
        </w:rPr>
        <w:t xml:space="preserve">14. </w:t>
      </w:r>
      <w:r w:rsidRPr="001D1409">
        <w:rPr>
          <w:rFonts w:ascii="Palatino Linotype" w:eastAsia="Calibri" w:hAnsi="Palatino Linotype"/>
          <w:b/>
          <w:bCs/>
        </w:rPr>
        <w:t xml:space="preserve">Circular on Guidelines pertaining to </w:t>
      </w:r>
      <w:r>
        <w:rPr>
          <w:rFonts w:ascii="Palatino Linotype" w:eastAsia="Calibri" w:hAnsi="Palatino Linotype"/>
          <w:b/>
          <w:bCs/>
        </w:rPr>
        <w:t>s</w:t>
      </w:r>
      <w:r w:rsidRPr="001D1409">
        <w:rPr>
          <w:rFonts w:ascii="Palatino Linotype" w:eastAsia="Calibri" w:hAnsi="Palatino Linotype"/>
          <w:b/>
          <w:bCs/>
        </w:rPr>
        <w:t>urrender of FPI Registration</w:t>
      </w:r>
    </w:p>
    <w:p w:rsidR="00284E34" w:rsidRPr="001D431F" w:rsidRDefault="00284E34" w:rsidP="00284E34">
      <w:pPr>
        <w:contextualSpacing/>
        <w:jc w:val="both"/>
        <w:rPr>
          <w:rFonts w:ascii="Palatino Linotype" w:eastAsia="Calibri" w:hAnsi="Palatino Linotype"/>
          <w:b/>
        </w:rPr>
      </w:pPr>
    </w:p>
    <w:p w:rsidR="00284E34" w:rsidRPr="001D431F" w:rsidRDefault="00284E34" w:rsidP="00512839">
      <w:pPr>
        <w:contextualSpacing/>
        <w:jc w:val="both"/>
        <w:rPr>
          <w:rFonts w:ascii="Palatino Linotype" w:eastAsia="Calibri" w:hAnsi="Palatino Linotype"/>
          <w:bCs/>
        </w:rPr>
      </w:pPr>
      <w:r w:rsidRPr="00FA000D">
        <w:rPr>
          <w:rFonts w:ascii="Arial" w:eastAsia="Times New Roman" w:hAnsi="Arial" w:cs="Arial"/>
          <w:sz w:val="23"/>
          <w:szCs w:val="23"/>
          <w:lang w:val="en-IN" w:eastAsia="en-IN"/>
        </w:rPr>
        <w:br/>
      </w:r>
      <w:r w:rsidRPr="00512839">
        <w:rPr>
          <w:rFonts w:ascii="Palatino Linotype" w:eastAsia="Calibri" w:hAnsi="Palatino Linotype"/>
          <w:bCs/>
        </w:rPr>
        <w:t xml:space="preserve">In  order  to have  a  uniform  market  practice for  processing  of surrender requests DDPs </w:t>
      </w:r>
      <w:r>
        <w:rPr>
          <w:rFonts w:ascii="Palatino Linotype" w:eastAsia="Calibri" w:hAnsi="Palatino Linotype"/>
          <w:bCs/>
        </w:rPr>
        <w:t xml:space="preserve">additional guidelines were issued to Designated Depository Participants  pertaining to surrender of foreign portfolio investors  registration.  </w:t>
      </w:r>
    </w:p>
    <w:p w:rsidR="00284E34" w:rsidRDefault="00284E34" w:rsidP="00284E34">
      <w:pPr>
        <w:jc w:val="both"/>
        <w:rPr>
          <w:rFonts w:ascii="Palatino Linotype" w:eastAsia="Calibri" w:hAnsi="Palatino Linotype"/>
          <w:bCs/>
          <w:i/>
          <w:iCs/>
        </w:rPr>
      </w:pP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1D1409">
        <w:rPr>
          <w:rFonts w:ascii="Palatino Linotype" w:eastAsia="Calibri" w:hAnsi="Palatino Linotype"/>
          <w:bCs/>
          <w:i/>
          <w:iCs/>
        </w:rPr>
        <w:t>SEBI/HO/IMD/FPI&amp;C/CIR/P/2021/045</w:t>
      </w:r>
      <w:r>
        <w:rPr>
          <w:rFonts w:ascii="Palatino Linotype" w:eastAsia="Calibri" w:hAnsi="Palatino Linotype"/>
          <w:bCs/>
          <w:i/>
          <w:iCs/>
        </w:rPr>
        <w:t xml:space="preserve"> </w:t>
      </w:r>
      <w:r w:rsidRPr="001D431F">
        <w:rPr>
          <w:rFonts w:ascii="Palatino Linotype" w:eastAsia="Calibri" w:hAnsi="Palatino Linotype"/>
          <w:bCs/>
          <w:i/>
          <w:iCs/>
        </w:rPr>
        <w:t>Dated March</w:t>
      </w:r>
      <w:r>
        <w:rPr>
          <w:rFonts w:ascii="Palatino Linotype" w:eastAsia="Calibri" w:hAnsi="Palatino Linotype"/>
          <w:bCs/>
          <w:i/>
          <w:iCs/>
        </w:rPr>
        <w:t xml:space="preserve"> 30</w:t>
      </w:r>
      <w:r w:rsidRPr="001D431F">
        <w:rPr>
          <w:rFonts w:ascii="Palatino Linotype" w:eastAsia="Calibri" w:hAnsi="Palatino Linotype"/>
          <w:bCs/>
          <w:i/>
          <w:iCs/>
        </w:rPr>
        <w:t>, 2021</w:t>
      </w:r>
    </w:p>
    <w:p w:rsidR="00284E34" w:rsidRDefault="00284E34" w:rsidP="00284E34">
      <w:pPr>
        <w:jc w:val="both"/>
        <w:rPr>
          <w:rFonts w:ascii="Palatino Linotype" w:eastAsia="Calibri" w:hAnsi="Palatino Linotype"/>
          <w:bCs/>
          <w:i/>
          <w:iCs/>
        </w:rPr>
      </w:pPr>
    </w:p>
    <w:p w:rsidR="00284E34" w:rsidRDefault="00284E34" w:rsidP="00284E34">
      <w:pPr>
        <w:contextualSpacing/>
        <w:jc w:val="both"/>
        <w:rPr>
          <w:rFonts w:ascii="Palatino Linotype" w:eastAsia="Calibri" w:hAnsi="Palatino Linotype"/>
          <w:b/>
          <w:bCs/>
        </w:rPr>
      </w:pPr>
      <w:r>
        <w:rPr>
          <w:rFonts w:ascii="Palatino Linotype" w:eastAsia="Calibri" w:hAnsi="Palatino Linotype"/>
          <w:b/>
          <w:bCs/>
        </w:rPr>
        <w:t xml:space="preserve">15. </w:t>
      </w:r>
      <w:r w:rsidRPr="001D1409">
        <w:rPr>
          <w:rFonts w:ascii="Palatino Linotype" w:eastAsia="Calibri" w:hAnsi="Palatino Linotype"/>
          <w:b/>
          <w:bCs/>
        </w:rPr>
        <w:t xml:space="preserve">Reduction in </w:t>
      </w:r>
      <w:r>
        <w:rPr>
          <w:rFonts w:ascii="Palatino Linotype" w:eastAsia="Calibri" w:hAnsi="Palatino Linotype"/>
          <w:b/>
          <w:bCs/>
        </w:rPr>
        <w:t>U</w:t>
      </w:r>
      <w:r w:rsidRPr="001D1409">
        <w:rPr>
          <w:rFonts w:ascii="Palatino Linotype" w:eastAsia="Calibri" w:hAnsi="Palatino Linotype"/>
          <w:b/>
          <w:bCs/>
        </w:rPr>
        <w:t>nblocking/</w:t>
      </w:r>
      <w:r>
        <w:rPr>
          <w:rFonts w:ascii="Palatino Linotype" w:eastAsia="Calibri" w:hAnsi="Palatino Linotype"/>
          <w:b/>
          <w:bCs/>
        </w:rPr>
        <w:t>R</w:t>
      </w:r>
      <w:r w:rsidRPr="001D1409">
        <w:rPr>
          <w:rFonts w:ascii="Palatino Linotype" w:eastAsia="Calibri" w:hAnsi="Palatino Linotype"/>
          <w:b/>
          <w:bCs/>
        </w:rPr>
        <w:t xml:space="preserve">efund of </w:t>
      </w:r>
      <w:r>
        <w:rPr>
          <w:rFonts w:ascii="Palatino Linotype" w:eastAsia="Calibri" w:hAnsi="Palatino Linotype"/>
          <w:b/>
          <w:bCs/>
        </w:rPr>
        <w:t>A</w:t>
      </w:r>
      <w:r w:rsidRPr="001D1409">
        <w:rPr>
          <w:rFonts w:ascii="Palatino Linotype" w:eastAsia="Calibri" w:hAnsi="Palatino Linotype"/>
          <w:b/>
          <w:bCs/>
        </w:rPr>
        <w:t xml:space="preserve">pplication </w:t>
      </w:r>
      <w:r>
        <w:rPr>
          <w:rFonts w:ascii="Palatino Linotype" w:eastAsia="Calibri" w:hAnsi="Palatino Linotype"/>
          <w:b/>
          <w:bCs/>
        </w:rPr>
        <w:t>M</w:t>
      </w:r>
      <w:r w:rsidRPr="001D1409">
        <w:rPr>
          <w:rFonts w:ascii="Palatino Linotype" w:eastAsia="Calibri" w:hAnsi="Palatino Linotype"/>
          <w:b/>
          <w:bCs/>
        </w:rPr>
        <w:t>oney</w:t>
      </w:r>
    </w:p>
    <w:p w:rsidR="00284E34" w:rsidRPr="001D431F" w:rsidRDefault="00284E34" w:rsidP="00284E34">
      <w:pPr>
        <w:contextualSpacing/>
        <w:jc w:val="both"/>
        <w:rPr>
          <w:rFonts w:ascii="Palatino Linotype" w:eastAsia="Calibri" w:hAnsi="Palatino Linotype"/>
          <w:b/>
        </w:rPr>
      </w:pPr>
    </w:p>
    <w:p w:rsidR="00284E34" w:rsidRDefault="00284E34" w:rsidP="00284E34">
      <w:pPr>
        <w:contextualSpacing/>
        <w:jc w:val="both"/>
        <w:rPr>
          <w:rFonts w:ascii="Palatino Linotype" w:eastAsia="Calibri" w:hAnsi="Palatino Linotype"/>
          <w:bCs/>
        </w:rPr>
      </w:pPr>
      <w:r>
        <w:rPr>
          <w:rFonts w:ascii="Palatino Linotype" w:eastAsia="Calibri" w:hAnsi="Palatino Linotype"/>
          <w:bCs/>
        </w:rPr>
        <w:t xml:space="preserve">The timelines for refund of investors’ money has been reduced to four days in case of non-receipt of minimum subscription and the issuer failing to obtain listing or trading permission from the stock exchanges.  </w:t>
      </w:r>
    </w:p>
    <w:p w:rsidR="00284E34" w:rsidRDefault="00284E34" w:rsidP="00284E34">
      <w:pPr>
        <w:contextualSpacing/>
        <w:jc w:val="both"/>
        <w:rPr>
          <w:rFonts w:ascii="Palatino Linotype" w:eastAsia="Calibri" w:hAnsi="Palatino Linotype"/>
          <w:bCs/>
        </w:rPr>
      </w:pPr>
    </w:p>
    <w:p w:rsidR="00284E34" w:rsidRDefault="00284E34" w:rsidP="00284E34">
      <w:pPr>
        <w:jc w:val="both"/>
        <w:rPr>
          <w:rFonts w:ascii="Palatino Linotype" w:eastAsia="Calibri" w:hAnsi="Palatino Linotype"/>
          <w:bCs/>
          <w:i/>
          <w:iCs/>
        </w:rPr>
      </w:pPr>
      <w:r w:rsidRPr="001D431F">
        <w:rPr>
          <w:rFonts w:ascii="Palatino Linotype" w:eastAsia="Calibri" w:hAnsi="Palatino Linotype"/>
          <w:bCs/>
          <w:i/>
          <w:iCs/>
        </w:rPr>
        <w:t xml:space="preserve">Source - </w:t>
      </w:r>
      <w:r w:rsidRPr="001D1409">
        <w:rPr>
          <w:rFonts w:ascii="Palatino Linotype" w:eastAsia="Calibri" w:hAnsi="Palatino Linotype"/>
          <w:bCs/>
          <w:i/>
          <w:iCs/>
        </w:rPr>
        <w:t>SEBI/HO/CFD/DIL1/CIR/P/2021/47</w:t>
      </w:r>
      <w:r w:rsidRPr="001D431F">
        <w:rPr>
          <w:rFonts w:ascii="Palatino Linotype" w:eastAsia="Calibri" w:hAnsi="Palatino Linotype"/>
          <w:bCs/>
          <w:i/>
          <w:iCs/>
        </w:rPr>
        <w:t xml:space="preserve"> Dated March</w:t>
      </w:r>
      <w:r>
        <w:rPr>
          <w:rFonts w:ascii="Palatino Linotype" w:eastAsia="Calibri" w:hAnsi="Palatino Linotype"/>
          <w:bCs/>
          <w:i/>
          <w:iCs/>
        </w:rPr>
        <w:t xml:space="preserve"> 31</w:t>
      </w:r>
      <w:r w:rsidRPr="001D431F">
        <w:rPr>
          <w:rFonts w:ascii="Palatino Linotype" w:eastAsia="Calibri" w:hAnsi="Palatino Linotype"/>
          <w:bCs/>
          <w:i/>
          <w:iCs/>
        </w:rPr>
        <w:t>, 2021</w:t>
      </w:r>
    </w:p>
    <w:p w:rsidR="00284E34" w:rsidRDefault="00284E34" w:rsidP="00284E34">
      <w:pPr>
        <w:jc w:val="both"/>
        <w:rPr>
          <w:rFonts w:ascii="Palatino Linotype" w:eastAsia="Calibri" w:hAnsi="Palatino Linotype"/>
          <w:bCs/>
          <w:i/>
          <w:iCs/>
        </w:rPr>
      </w:pPr>
    </w:p>
    <w:p w:rsidR="00284E34" w:rsidRPr="00D20404" w:rsidRDefault="00284E34" w:rsidP="00284E34">
      <w:pPr>
        <w:jc w:val="both"/>
        <w:rPr>
          <w:rFonts w:ascii="Palatino Linotype" w:hAnsi="Palatino Linotype" w:cs="Arial"/>
          <w:b/>
          <w:bCs/>
          <w:color w:val="000000"/>
        </w:rPr>
      </w:pPr>
    </w:p>
    <w:p w:rsidR="00284E34" w:rsidRDefault="00284E34" w:rsidP="00284E34">
      <w:pPr>
        <w:spacing w:after="120"/>
        <w:rPr>
          <w:rFonts w:ascii="Garamond" w:hAnsi="Garamond" w:cs="Arial"/>
          <w:i/>
          <w:szCs w:val="32"/>
        </w:rPr>
      </w:pPr>
      <w:r w:rsidRPr="008570C3">
        <w:rPr>
          <w:rFonts w:ascii="Garamond" w:hAnsi="Garamond" w:cs="Arial"/>
          <w:i/>
          <w:szCs w:val="32"/>
        </w:rPr>
        <w:t>Disclaimer: The summary has been prepared for the convenience of readers. In case of any ambiguity, please refer to the original circular.</w:t>
      </w:r>
    </w:p>
    <w:p w:rsidR="00092887" w:rsidRDefault="00092887">
      <w:pPr>
        <w:rPr>
          <w:rFonts w:ascii="Palatino Linotype" w:hAnsi="Palatino Linotype"/>
          <w:b/>
          <w:bCs/>
        </w:rPr>
      </w:pPr>
      <w:r>
        <w:rPr>
          <w:rFonts w:ascii="Palatino Linotype" w:hAnsi="Palatino Linotype"/>
          <w:b/>
          <w:bCs/>
        </w:rPr>
        <w:br w:type="page"/>
      </w:r>
    </w:p>
    <w:p w:rsidR="00A07B14" w:rsidRDefault="00A07B14" w:rsidP="00A07B14">
      <w:pPr>
        <w:spacing w:after="120"/>
        <w:rPr>
          <w:rFonts w:ascii="Palatino Linotype" w:hAnsi="Palatino Linotype"/>
          <w:b/>
          <w:bCs/>
        </w:rPr>
      </w:pPr>
    </w:p>
    <w:p w:rsidR="00272724" w:rsidRPr="004752BB" w:rsidRDefault="00272724" w:rsidP="00272724">
      <w:pPr>
        <w:tabs>
          <w:tab w:val="left" w:pos="8160"/>
        </w:tabs>
        <w:jc w:val="center"/>
        <w:rPr>
          <w:rFonts w:ascii="Palatino Linotype" w:hAnsi="Palatino Linotype"/>
          <w:b/>
          <w:sz w:val="28"/>
          <w:szCs w:val="28"/>
        </w:rPr>
      </w:pPr>
      <w:r w:rsidRPr="004752BB">
        <w:rPr>
          <w:rFonts w:ascii="Palatino Linotype" w:hAnsi="Palatino Linotype"/>
          <w:b/>
          <w:sz w:val="28"/>
          <w:szCs w:val="28"/>
        </w:rPr>
        <w:t>REGULATORY ACTIONS TAKEN BY SEBI</w:t>
      </w:r>
    </w:p>
    <w:p w:rsidR="00272724" w:rsidRDefault="00272724" w:rsidP="00272724">
      <w:pPr>
        <w:rPr>
          <w:rFonts w:ascii="Palatino Linotype" w:hAnsi="Palatino Linotype"/>
          <w:b/>
          <w:sz w:val="40"/>
          <w:szCs w:val="40"/>
        </w:rPr>
      </w:pPr>
    </w:p>
    <w:p w:rsidR="00272724" w:rsidRDefault="00272724" w:rsidP="00272724">
      <w:pPr>
        <w:rPr>
          <w:rFonts w:ascii="Palatino Linotype" w:hAnsi="Palatino Linotype"/>
          <w:b/>
        </w:rPr>
      </w:pPr>
      <w:r w:rsidRPr="009E191B">
        <w:rPr>
          <w:rFonts w:ascii="Palatino Linotype" w:hAnsi="Palatino Linotype"/>
          <w:b/>
        </w:rPr>
        <w:t xml:space="preserve">Orders passed by </w:t>
      </w:r>
      <w:r>
        <w:rPr>
          <w:rFonts w:ascii="Palatino Linotype" w:hAnsi="Palatino Linotype"/>
          <w:b/>
        </w:rPr>
        <w:t xml:space="preserve">Whole Time </w:t>
      </w:r>
      <w:r w:rsidRPr="009E191B">
        <w:rPr>
          <w:rFonts w:ascii="Palatino Linotype" w:hAnsi="Palatino Linotype"/>
          <w:b/>
        </w:rPr>
        <w:t>Member</w:t>
      </w:r>
      <w:r>
        <w:rPr>
          <w:rFonts w:ascii="Palatino Linotype" w:hAnsi="Palatino Linotype"/>
          <w:b/>
        </w:rPr>
        <w:t>s</w:t>
      </w:r>
      <w:r w:rsidR="00F9747C">
        <w:rPr>
          <w:rFonts w:ascii="Palatino Linotype" w:hAnsi="Palatino Linotype"/>
          <w:b/>
        </w:rPr>
        <w:t xml:space="preserve"> / Adjudication Officers</w:t>
      </w:r>
      <w:r>
        <w:rPr>
          <w:rFonts w:ascii="Palatino Linotype" w:hAnsi="Palatino Linotype"/>
          <w:b/>
        </w:rPr>
        <w:t>:</w:t>
      </w:r>
    </w:p>
    <w:p w:rsidR="00A07B14" w:rsidRDefault="00A07B14" w:rsidP="00272724">
      <w:pPr>
        <w:rPr>
          <w:rFonts w:ascii="Palatino Linotype" w:hAnsi="Palatino Linotype"/>
          <w:b/>
        </w:rPr>
      </w:pPr>
    </w:p>
    <w:tbl>
      <w:tblPr>
        <w:tblW w:w="11482" w:type="dxa"/>
        <w:tblInd w:w="-714" w:type="dxa"/>
        <w:tblLayout w:type="fixed"/>
        <w:tblLook w:val="04A0" w:firstRow="1" w:lastRow="0" w:firstColumn="1" w:lastColumn="0" w:noHBand="0" w:noVBand="1"/>
      </w:tblPr>
      <w:tblGrid>
        <w:gridCol w:w="567"/>
        <w:gridCol w:w="1418"/>
        <w:gridCol w:w="2126"/>
        <w:gridCol w:w="1418"/>
        <w:gridCol w:w="2126"/>
        <w:gridCol w:w="2268"/>
        <w:gridCol w:w="1559"/>
      </w:tblGrid>
      <w:tr w:rsidR="000E7AC9" w:rsidRPr="00B83873" w:rsidTr="00581BF7">
        <w:trPr>
          <w:trHeight w:val="300"/>
        </w:trPr>
        <w:tc>
          <w:tcPr>
            <w:tcW w:w="567" w:type="dxa"/>
            <w:tcBorders>
              <w:top w:val="single" w:sz="4" w:space="0" w:color="auto"/>
              <w:left w:val="single" w:sz="4" w:space="0" w:color="auto"/>
              <w:bottom w:val="single" w:sz="4" w:space="0" w:color="auto"/>
              <w:right w:val="single" w:sz="4" w:space="0" w:color="auto"/>
            </w:tcBorders>
          </w:tcPr>
          <w:p w:rsidR="000E7AC9"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Sl.</w:t>
            </w:r>
          </w:p>
          <w:p w:rsidR="000E7AC9" w:rsidRPr="00B83873" w:rsidRDefault="000E7AC9" w:rsidP="00BA55C5">
            <w:pPr>
              <w:jc w:val="center"/>
              <w:rPr>
                <w:rFonts w:ascii="Palatino Linotype" w:hAnsi="Palatino Linotype" w:cs="Calibri"/>
                <w:b/>
                <w:bCs/>
                <w:color w:val="000000"/>
                <w:sz w:val="20"/>
                <w:szCs w:val="20"/>
                <w:lang w:val="en-IN" w:eastAsia="en-IN" w:bidi="hi-IN"/>
              </w:rPr>
            </w:pPr>
            <w:r>
              <w:rPr>
                <w:rFonts w:ascii="Palatino Linotype" w:hAnsi="Palatino Linotype" w:cs="Calibri"/>
                <w:b/>
                <w:bCs/>
                <w:color w:val="000000"/>
                <w:sz w:val="20"/>
                <w:szCs w:val="20"/>
                <w:lang w:val="en-IN" w:eastAsia="en-IN" w:bidi="hi-IN"/>
              </w:rPr>
              <w:t>No.</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Date</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Case Name</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 xml:space="preserve">Action </w:t>
            </w:r>
          </w:p>
        </w:tc>
        <w:tc>
          <w:tcPr>
            <w:tcW w:w="2126"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Entity</w:t>
            </w:r>
          </w:p>
        </w:tc>
        <w:tc>
          <w:tcPr>
            <w:tcW w:w="2268"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Violation</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0E7AC9" w:rsidRPr="00B83873" w:rsidRDefault="000E7AC9" w:rsidP="00BA55C5">
            <w:pPr>
              <w:jc w:val="center"/>
              <w:rPr>
                <w:rFonts w:ascii="Palatino Linotype" w:hAnsi="Palatino Linotype" w:cs="Calibri"/>
                <w:b/>
                <w:bCs/>
                <w:color w:val="000000"/>
                <w:sz w:val="20"/>
                <w:szCs w:val="20"/>
                <w:lang w:val="en-IN" w:eastAsia="en-IN" w:bidi="hi-IN"/>
              </w:rPr>
            </w:pPr>
            <w:r w:rsidRPr="00B83873">
              <w:rPr>
                <w:rFonts w:ascii="Palatino Linotype" w:hAnsi="Palatino Linotype" w:cs="Calibri"/>
                <w:b/>
                <w:bCs/>
                <w:color w:val="000000"/>
                <w:sz w:val="20"/>
                <w:szCs w:val="20"/>
                <w:lang w:val="en-IN" w:eastAsia="en-IN" w:bidi="hi-IN"/>
              </w:rPr>
              <w:t>PENALTY</w:t>
            </w:r>
            <w:r>
              <w:rPr>
                <w:rFonts w:ascii="Palatino Linotype" w:hAnsi="Palatino Linotype" w:cs="Calibri"/>
                <w:b/>
                <w:bCs/>
                <w:color w:val="000000"/>
                <w:sz w:val="20"/>
                <w:szCs w:val="20"/>
                <w:lang w:val="en-IN" w:eastAsia="en-IN" w:bidi="hi-IN"/>
              </w:rPr>
              <w:t xml:space="preserve"> (</w:t>
            </w:r>
            <w:r w:rsidRPr="00D22F0B">
              <w:rPr>
                <w:rFonts w:ascii="Rupee Foradian" w:hAnsi="Rupee Foradian" w:cs="Calibri"/>
                <w:b/>
                <w:bCs/>
                <w:color w:val="000000"/>
                <w:sz w:val="20"/>
                <w:szCs w:val="20"/>
                <w:lang w:val="en-IN" w:eastAsia="en-IN" w:bidi="hi-IN"/>
              </w:rPr>
              <w:t>`</w:t>
            </w:r>
            <w:r>
              <w:rPr>
                <w:rFonts w:ascii="Palatino Linotype" w:hAnsi="Palatino Linotype" w:cs="Calibri"/>
                <w:b/>
                <w:bCs/>
                <w:color w:val="000000"/>
                <w:sz w:val="20"/>
                <w:szCs w:val="20"/>
                <w:lang w:val="en-IN" w:eastAsia="en-IN" w:bidi="hi-IN"/>
              </w:rPr>
              <w:t>)</w:t>
            </w:r>
          </w:p>
        </w:tc>
      </w:tr>
      <w:tr w:rsidR="00581BF7" w:rsidRPr="00B83873" w:rsidTr="00581BF7">
        <w:trPr>
          <w:trHeight w:val="300"/>
        </w:trPr>
        <w:tc>
          <w:tcPr>
            <w:tcW w:w="567" w:type="dxa"/>
            <w:tcBorders>
              <w:top w:val="single" w:sz="4" w:space="0" w:color="auto"/>
              <w:left w:val="single" w:sz="4" w:space="0" w:color="auto"/>
              <w:bottom w:val="single" w:sz="4" w:space="0" w:color="auto"/>
              <w:right w:val="single" w:sz="4" w:space="0" w:color="auto"/>
            </w:tcBorders>
          </w:tcPr>
          <w:p w:rsidR="00581BF7" w:rsidRPr="00A538EB" w:rsidRDefault="00581BF7" w:rsidP="00581BF7">
            <w:pPr>
              <w:jc w:val="both"/>
              <w:rPr>
                <w:color w:val="000000"/>
                <w:sz w:val="22"/>
                <w:szCs w:val="22"/>
                <w:lang w:val="en-IN" w:eastAsia="en-IN" w:bidi="hi-IN"/>
              </w:rPr>
            </w:pPr>
            <w:r>
              <w:rPr>
                <w:color w:val="000000"/>
                <w:sz w:val="22"/>
                <w:szCs w:val="22"/>
                <w:lang w:val="en-IN" w:eastAsia="en-IN" w:bidi="hi-IN"/>
              </w:rPr>
              <w:t>1</w:t>
            </w:r>
          </w:p>
        </w:tc>
        <w:tc>
          <w:tcPr>
            <w:tcW w:w="1418" w:type="dxa"/>
            <w:tcBorders>
              <w:top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lang w:bidi="hi-IN"/>
              </w:rPr>
            </w:pPr>
            <w:r w:rsidRPr="00D20404">
              <w:rPr>
                <w:rFonts w:eastAsia="Calibri"/>
                <w:lang w:bidi="hi-IN"/>
              </w:rPr>
              <w:t>01/03/2021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Solitaire Machine Tools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Swati Hemendra Badani, Ashok Jivarajbhai Sheth, Harsh Hemendra Badani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81BF7" w:rsidRPr="00D20404" w:rsidRDefault="00581BF7" w:rsidP="00581BF7">
            <w:pPr>
              <w:shd w:val="clear" w:color="auto" w:fill="FFFFFF"/>
              <w:rPr>
                <w:lang w:bidi="hi-IN"/>
              </w:rPr>
            </w:pPr>
            <w:r w:rsidRPr="00D20404">
              <w:rPr>
                <w:lang w:bidi="hi-IN"/>
              </w:rPr>
              <w:t xml:space="preserve">Regulation 13(4A) &amp; 13(5) of Prohibition of Insider Trading Regulation, 2015(PIT Regulations). </w:t>
            </w:r>
          </w:p>
          <w:p w:rsidR="00581BF7" w:rsidRPr="00D20404" w:rsidRDefault="00581BF7" w:rsidP="00581BF7">
            <w:pPr>
              <w:rPr>
                <w:rFonts w:eastAsia="Calibri"/>
                <w:b/>
                <w:bCs/>
                <w:lang w:bidi="hi-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jc w:val="right"/>
              <w:rPr>
                <w:rFonts w:eastAsia="Calibri"/>
                <w:lang w:bidi="hi-IN"/>
              </w:rPr>
            </w:pPr>
            <w:r w:rsidRPr="00D20404">
              <w:rPr>
                <w:rFonts w:eastAsia="Calibri"/>
                <w:lang w:bidi="hi-IN"/>
              </w:rPr>
              <w:t>1,00,000</w:t>
            </w:r>
          </w:p>
        </w:tc>
      </w:tr>
      <w:tr w:rsidR="00581BF7" w:rsidRPr="00B83873" w:rsidTr="00581BF7">
        <w:trPr>
          <w:trHeight w:val="300"/>
        </w:trPr>
        <w:tc>
          <w:tcPr>
            <w:tcW w:w="567" w:type="dxa"/>
            <w:tcBorders>
              <w:top w:val="single" w:sz="4" w:space="0" w:color="auto"/>
              <w:left w:val="single" w:sz="4" w:space="0" w:color="auto"/>
              <w:bottom w:val="single" w:sz="4" w:space="0" w:color="auto"/>
              <w:right w:val="single" w:sz="4" w:space="0" w:color="auto"/>
            </w:tcBorders>
          </w:tcPr>
          <w:p w:rsidR="00581BF7" w:rsidRPr="00A538EB" w:rsidRDefault="00581BF7" w:rsidP="00581BF7">
            <w:pPr>
              <w:jc w:val="both"/>
              <w:rPr>
                <w:color w:val="000000"/>
                <w:sz w:val="22"/>
                <w:szCs w:val="22"/>
                <w:lang w:val="en-IN" w:eastAsia="en-IN" w:bidi="hi-IN"/>
              </w:rPr>
            </w:pPr>
            <w:r>
              <w:rPr>
                <w:color w:val="000000"/>
                <w:sz w:val="22"/>
                <w:szCs w:val="22"/>
                <w:lang w:val="en-IN" w:eastAsia="en-IN" w:bidi="hi-IN"/>
              </w:rPr>
              <w:t>2</w:t>
            </w:r>
          </w:p>
        </w:tc>
        <w:tc>
          <w:tcPr>
            <w:tcW w:w="1418" w:type="dxa"/>
            <w:tcBorders>
              <w:top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lang w:bidi="hi-IN"/>
              </w:rPr>
            </w:pPr>
            <w:r w:rsidRPr="00D20404">
              <w:rPr>
                <w:rFonts w:eastAsia="Calibri"/>
                <w:lang w:bidi="hi-IN"/>
              </w:rPr>
              <w:t>03/03/2021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KGN Enterprises Ltd., Gemstone Investment Ltd &amp; Polytex India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lang w:bidi="hi-IN"/>
              </w:rPr>
              <w:t xml:space="preserve">Jigar Ghorai, </w:t>
            </w:r>
            <w:r w:rsidRPr="00D20404">
              <w:rPr>
                <w:rFonts w:eastAsia="Calibri"/>
                <w:shd w:val="clear" w:color="auto" w:fill="FFFFFF"/>
                <w:lang w:bidi="hi-IN"/>
              </w:rPr>
              <w:t xml:space="preserve">and eight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81BF7" w:rsidRPr="00D20404" w:rsidRDefault="00581BF7" w:rsidP="00581BF7">
            <w:pPr>
              <w:shd w:val="clear" w:color="auto" w:fill="FFFFFF"/>
              <w:rPr>
                <w:lang w:bidi="hi-IN"/>
              </w:rPr>
            </w:pPr>
            <w:r w:rsidRPr="00D20404">
              <w:rPr>
                <w:lang w:bidi="hi-IN"/>
              </w:rPr>
              <w:t>Regulations 3(a), (b), (c) and (d) and 4(1), 4(2)(a),</w:t>
            </w:r>
          </w:p>
          <w:p w:rsidR="00581BF7" w:rsidRPr="00D20404" w:rsidRDefault="00581BF7" w:rsidP="00581BF7">
            <w:pPr>
              <w:shd w:val="clear" w:color="auto" w:fill="FFFFFF"/>
              <w:rPr>
                <w:lang w:bidi="hi-IN"/>
              </w:rPr>
            </w:pPr>
            <w:r w:rsidRPr="00D20404">
              <w:rPr>
                <w:lang w:bidi="hi-IN"/>
              </w:rPr>
              <w:t>4(2)(e) and 4(2)(g) of  SEBI (</w:t>
            </w:r>
            <w:r w:rsidRPr="00D20404">
              <w:rPr>
                <w:rFonts w:eastAsia="Calibri"/>
                <w:color w:val="202124"/>
                <w:shd w:val="clear" w:color="auto" w:fill="FFFFFF"/>
                <w:lang w:bidi="hi-IN"/>
              </w:rPr>
              <w:t>Prohibition of Fraudulent and Unfair Trade Practices)</w:t>
            </w:r>
            <w:r w:rsidRPr="00D20404">
              <w:rPr>
                <w:lang w:bidi="hi-IN"/>
              </w:rPr>
              <w:t xml:space="preserve"> Regulations, 2003 (PFUTP Regulations)</w:t>
            </w:r>
          </w:p>
          <w:p w:rsidR="00581BF7" w:rsidRPr="00D20404" w:rsidRDefault="00581BF7" w:rsidP="00581BF7">
            <w:pPr>
              <w:rPr>
                <w:rFonts w:eastAsia="Calibri"/>
                <w:b/>
                <w:bCs/>
                <w:lang w:bidi="hi-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jc w:val="right"/>
              <w:rPr>
                <w:rFonts w:eastAsia="Calibri"/>
                <w:lang w:bidi="hi-IN"/>
              </w:rPr>
            </w:pPr>
            <w:r w:rsidRPr="00D20404">
              <w:rPr>
                <w:rFonts w:eastAsia="Calibri"/>
                <w:lang w:bidi="hi-IN"/>
              </w:rPr>
              <w:t>18,00,000</w:t>
            </w:r>
          </w:p>
        </w:tc>
      </w:tr>
      <w:tr w:rsidR="00581BF7" w:rsidRPr="00B83873" w:rsidTr="00581BF7">
        <w:trPr>
          <w:trHeight w:val="300"/>
        </w:trPr>
        <w:tc>
          <w:tcPr>
            <w:tcW w:w="567" w:type="dxa"/>
            <w:tcBorders>
              <w:top w:val="single" w:sz="4" w:space="0" w:color="auto"/>
              <w:left w:val="single" w:sz="4" w:space="0" w:color="auto"/>
              <w:bottom w:val="single" w:sz="4" w:space="0" w:color="auto"/>
              <w:right w:val="single" w:sz="4" w:space="0" w:color="auto"/>
            </w:tcBorders>
          </w:tcPr>
          <w:p w:rsidR="00581BF7" w:rsidRPr="00A538EB" w:rsidRDefault="00581BF7" w:rsidP="00581BF7">
            <w:pPr>
              <w:jc w:val="both"/>
              <w:rPr>
                <w:color w:val="000000"/>
                <w:sz w:val="22"/>
                <w:szCs w:val="22"/>
                <w:lang w:val="en-IN" w:eastAsia="en-IN" w:bidi="hi-IN"/>
              </w:rPr>
            </w:pPr>
            <w:r>
              <w:rPr>
                <w:color w:val="000000"/>
                <w:sz w:val="22"/>
                <w:szCs w:val="22"/>
                <w:lang w:val="en-IN" w:eastAsia="en-IN" w:bidi="hi-IN"/>
              </w:rPr>
              <w:t>3</w:t>
            </w:r>
          </w:p>
        </w:tc>
        <w:tc>
          <w:tcPr>
            <w:tcW w:w="1418" w:type="dxa"/>
            <w:tcBorders>
              <w:top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lang w:bidi="hi-IN"/>
              </w:rPr>
            </w:pPr>
            <w:r w:rsidRPr="00D20404">
              <w:rPr>
                <w:rFonts w:eastAsia="Calibri"/>
                <w:lang w:bidi="hi-IN"/>
              </w:rPr>
              <w:t>04/03/2021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 xml:space="preserve">Adil Shamshi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shd w:val="clear" w:color="auto" w:fill="FFFFFF"/>
              <w:rPr>
                <w:lang w:bidi="hi-IN"/>
              </w:rPr>
            </w:pPr>
            <w:r w:rsidRPr="00D20404">
              <w:rPr>
                <w:lang w:bidi="hi-IN"/>
              </w:rPr>
              <w:t xml:space="preserve">Adil Shamsi, </w:t>
            </w:r>
            <w:r w:rsidRPr="00D20404">
              <w:rPr>
                <w:rFonts w:eastAsia="Calibri"/>
                <w:shd w:val="clear" w:color="auto" w:fill="FFFFFF"/>
                <w:lang w:bidi="hi-IN"/>
              </w:rPr>
              <w:t>Unregistered Investment Adviser</w:t>
            </w:r>
          </w:p>
          <w:p w:rsidR="00581BF7" w:rsidRPr="00D20404" w:rsidRDefault="00581BF7" w:rsidP="00581BF7">
            <w:pPr>
              <w:jc w:val="center"/>
              <w:rPr>
                <w:rFonts w:eastAsia="Calibri"/>
                <w:b/>
                <w:bCs/>
                <w:lang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81BF7" w:rsidRPr="00D20404" w:rsidRDefault="00581BF7" w:rsidP="00581BF7">
            <w:pPr>
              <w:shd w:val="clear" w:color="auto" w:fill="FFFFFF"/>
              <w:rPr>
                <w:lang w:bidi="hi-IN"/>
              </w:rPr>
            </w:pPr>
            <w:r w:rsidRPr="00D20404">
              <w:rPr>
                <w:lang w:bidi="hi-IN"/>
              </w:rPr>
              <w:t xml:space="preserve">Section 12(1) of SEBI Act, 1992 and 3(1) of SEBI (Investment Advisers) </w:t>
            </w:r>
          </w:p>
          <w:p w:rsidR="00581BF7" w:rsidRPr="00D20404" w:rsidRDefault="00581BF7" w:rsidP="00581BF7">
            <w:pPr>
              <w:shd w:val="clear" w:color="auto" w:fill="FFFFFF"/>
              <w:rPr>
                <w:lang w:bidi="hi-IN"/>
              </w:rPr>
            </w:pPr>
            <w:r w:rsidRPr="00D20404">
              <w:rPr>
                <w:lang w:bidi="hi-IN"/>
              </w:rPr>
              <w:t>Regulations,2013</w:t>
            </w:r>
          </w:p>
          <w:p w:rsidR="00581BF7" w:rsidRPr="00D20404" w:rsidRDefault="00581BF7" w:rsidP="00581BF7">
            <w:pPr>
              <w:rPr>
                <w:rFonts w:eastAsia="Calibri"/>
                <w:b/>
                <w:bCs/>
                <w:lang w:bidi="hi-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jc w:val="right"/>
              <w:rPr>
                <w:rFonts w:eastAsia="Calibri"/>
                <w:lang w:bidi="hi-IN"/>
              </w:rPr>
            </w:pPr>
            <w:r w:rsidRPr="00D20404">
              <w:rPr>
                <w:rFonts w:eastAsia="Calibri"/>
                <w:lang w:bidi="hi-IN"/>
              </w:rPr>
              <w:t>1,00,000</w:t>
            </w:r>
          </w:p>
        </w:tc>
      </w:tr>
      <w:tr w:rsidR="00581BF7" w:rsidRPr="00B83873" w:rsidTr="00581BF7">
        <w:trPr>
          <w:trHeight w:val="300"/>
        </w:trPr>
        <w:tc>
          <w:tcPr>
            <w:tcW w:w="567" w:type="dxa"/>
            <w:tcBorders>
              <w:top w:val="single" w:sz="4" w:space="0" w:color="auto"/>
              <w:left w:val="single" w:sz="4" w:space="0" w:color="auto"/>
              <w:bottom w:val="single" w:sz="4" w:space="0" w:color="auto"/>
              <w:right w:val="single" w:sz="4" w:space="0" w:color="auto"/>
            </w:tcBorders>
          </w:tcPr>
          <w:p w:rsidR="00581BF7" w:rsidRPr="00A538EB" w:rsidRDefault="00581BF7" w:rsidP="00581BF7">
            <w:pPr>
              <w:jc w:val="both"/>
              <w:rPr>
                <w:color w:val="000000"/>
                <w:sz w:val="22"/>
                <w:szCs w:val="22"/>
                <w:lang w:val="en-IN" w:eastAsia="en-IN" w:bidi="hi-IN"/>
              </w:rPr>
            </w:pPr>
            <w:r>
              <w:rPr>
                <w:color w:val="000000"/>
                <w:sz w:val="22"/>
                <w:szCs w:val="22"/>
                <w:lang w:val="en-IN" w:eastAsia="en-IN" w:bidi="hi-IN"/>
              </w:rPr>
              <w:t>4</w:t>
            </w:r>
          </w:p>
        </w:tc>
        <w:tc>
          <w:tcPr>
            <w:tcW w:w="1418" w:type="dxa"/>
            <w:tcBorders>
              <w:top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lang w:bidi="hi-IN"/>
              </w:rPr>
            </w:pPr>
            <w:r w:rsidRPr="00D20404">
              <w:rPr>
                <w:rFonts w:eastAsia="Calibri"/>
                <w:lang w:bidi="hi-IN"/>
              </w:rPr>
              <w:t>05/03/2021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Wagend Infra Venture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Manojbhai Modi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581BF7" w:rsidRPr="00D20404" w:rsidRDefault="00581BF7" w:rsidP="00581BF7">
            <w:pPr>
              <w:rPr>
                <w:rFonts w:eastAsia="Calibri"/>
                <w:b/>
                <w:bCs/>
                <w:lang w:bidi="hi-IN"/>
              </w:rPr>
            </w:pPr>
            <w:r w:rsidRPr="00D20404">
              <w:rPr>
                <w:lang w:bidi="hi-IN"/>
              </w:rPr>
              <w:t>Regulation 13(4A) &amp; 13(5) of SEBI PIT Regulation, 2015 and clause 4.2 of the Model Code of Conduct for prevention of Insider Trading for listed Companies under Regulation 12 of PIT Regulations.</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jc w:val="right"/>
              <w:rPr>
                <w:rFonts w:eastAsia="Calibri"/>
                <w:lang w:bidi="hi-IN"/>
              </w:rPr>
            </w:pPr>
            <w:r w:rsidRPr="00D20404">
              <w:rPr>
                <w:rFonts w:eastAsia="Calibri"/>
                <w:lang w:bidi="hi-IN"/>
              </w:rPr>
              <w:t>3,00,000</w:t>
            </w:r>
          </w:p>
        </w:tc>
      </w:tr>
      <w:tr w:rsidR="00581BF7"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581BF7" w:rsidRPr="00A538EB" w:rsidRDefault="00581BF7" w:rsidP="00581BF7">
            <w:pPr>
              <w:jc w:val="both"/>
              <w:rPr>
                <w:color w:val="000000"/>
                <w:sz w:val="22"/>
                <w:szCs w:val="22"/>
                <w:lang w:val="en-IN" w:eastAsia="en-IN" w:bidi="hi-IN"/>
              </w:rPr>
            </w:pPr>
            <w:r>
              <w:rPr>
                <w:color w:val="000000"/>
                <w:sz w:val="22"/>
                <w:szCs w:val="22"/>
                <w:lang w:val="en-IN" w:eastAsia="en-IN" w:bidi="hi-IN"/>
              </w:rPr>
              <w:t>5</w:t>
            </w:r>
          </w:p>
        </w:tc>
        <w:tc>
          <w:tcPr>
            <w:tcW w:w="1418" w:type="dxa"/>
            <w:tcBorders>
              <w:top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lang w:bidi="hi-IN"/>
              </w:rPr>
            </w:pPr>
            <w:r w:rsidRPr="00D20404">
              <w:rPr>
                <w:rFonts w:eastAsia="Calibri"/>
                <w:lang w:bidi="hi-IN"/>
              </w:rPr>
              <w:t>05/03/2021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Tradebulls Securities Pvt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rPr>
                <w:rFonts w:eastAsia="Calibri"/>
                <w:b/>
                <w:bCs/>
                <w:lang w:bidi="hi-IN"/>
              </w:rPr>
            </w:pPr>
            <w:r w:rsidRPr="00D20404">
              <w:rPr>
                <w:rFonts w:eastAsia="Calibri"/>
                <w:shd w:val="clear" w:color="auto" w:fill="FFFFFF"/>
                <w:lang w:bidi="hi-IN"/>
              </w:rPr>
              <w:t>Tradebulls Securities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shd w:val="clear" w:color="auto" w:fill="FFFFFF"/>
              <w:rPr>
                <w:lang w:bidi="hi-IN"/>
              </w:rPr>
            </w:pPr>
            <w:r w:rsidRPr="00D20404">
              <w:rPr>
                <w:lang w:bidi="hi-IN"/>
              </w:rPr>
              <w:t xml:space="preserve">Circular no. </w:t>
            </w:r>
          </w:p>
          <w:p w:rsidR="00581BF7" w:rsidRPr="00D20404" w:rsidRDefault="00581BF7" w:rsidP="00581BF7">
            <w:pPr>
              <w:shd w:val="clear" w:color="auto" w:fill="FFFFFF"/>
              <w:rPr>
                <w:lang w:bidi="hi-IN"/>
              </w:rPr>
            </w:pPr>
            <w:r w:rsidRPr="00D20404">
              <w:rPr>
                <w:lang w:bidi="hi-IN"/>
              </w:rPr>
              <w:t xml:space="preserve">CIR/MIRSD/16/2011 </w:t>
            </w: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r w:rsidRPr="00D20404">
              <w:rPr>
                <w:lang w:bidi="hi-IN"/>
              </w:rPr>
              <w:t>Clause 2 of SEBI Circular no. MIRSD/</w:t>
            </w:r>
          </w:p>
          <w:p w:rsidR="00581BF7" w:rsidRPr="00D20404" w:rsidRDefault="00581BF7" w:rsidP="00581BF7">
            <w:pPr>
              <w:shd w:val="clear" w:color="auto" w:fill="FFFFFF"/>
              <w:rPr>
                <w:lang w:bidi="hi-IN"/>
              </w:rPr>
            </w:pPr>
            <w:r w:rsidRPr="00D20404">
              <w:rPr>
                <w:lang w:bidi="hi-IN"/>
              </w:rPr>
              <w:t xml:space="preserve">26/2011 dated </w:t>
            </w:r>
          </w:p>
          <w:p w:rsidR="00581BF7" w:rsidRPr="00D20404" w:rsidRDefault="00581BF7" w:rsidP="00581BF7">
            <w:pPr>
              <w:shd w:val="clear" w:color="auto" w:fill="FFFFFF"/>
              <w:rPr>
                <w:lang w:bidi="hi-IN"/>
              </w:rPr>
            </w:pPr>
            <w:r w:rsidRPr="00D20404">
              <w:rPr>
                <w:lang w:bidi="hi-IN"/>
              </w:rPr>
              <w:t xml:space="preserve">December 23, 2011 read with SEBI Circular no. MIRSD/ 23/2011 dated </w:t>
            </w:r>
          </w:p>
          <w:p w:rsidR="00581BF7" w:rsidRPr="00D20404" w:rsidRDefault="00581BF7" w:rsidP="00581BF7">
            <w:pPr>
              <w:shd w:val="clear" w:color="auto" w:fill="FFFFFF"/>
              <w:rPr>
                <w:lang w:bidi="hi-IN"/>
              </w:rPr>
            </w:pPr>
            <w:r w:rsidRPr="00D20404">
              <w:rPr>
                <w:lang w:bidi="hi-IN"/>
              </w:rPr>
              <w:t>December 2, 2011and SEBI Circular no. MIRSD/ 5/2012 dated April 13, 2012</w:t>
            </w: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r w:rsidRPr="00D20404">
              <w:rPr>
                <w:lang w:bidi="hi-IN"/>
              </w:rPr>
              <w:t>Clause 2(b) of SEBI Circular No. CIR/MIRSD/15/2011 dated August 02, 2011</w:t>
            </w: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r w:rsidRPr="00D20404">
              <w:rPr>
                <w:lang w:bidi="hi-IN"/>
              </w:rPr>
              <w:t>Clause 3 of SEBI Circular no. MIRSD/</w:t>
            </w:r>
          </w:p>
          <w:p w:rsidR="00581BF7" w:rsidRPr="00D20404" w:rsidRDefault="00581BF7" w:rsidP="00581BF7">
            <w:pPr>
              <w:shd w:val="clear" w:color="auto" w:fill="FFFFFF"/>
              <w:rPr>
                <w:lang w:bidi="hi-IN"/>
              </w:rPr>
            </w:pPr>
            <w:r w:rsidRPr="00D20404">
              <w:rPr>
                <w:lang w:bidi="hi-IN"/>
              </w:rPr>
              <w:t>26/2011 dated December 23, 2011</w:t>
            </w: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r w:rsidRPr="00D20404">
              <w:rPr>
                <w:lang w:bidi="hi-IN"/>
              </w:rPr>
              <w:t xml:space="preserve">SEBI Circular no. MIRSD/120/2016 dated November 10, 2016 read with SEBI Circular </w:t>
            </w:r>
          </w:p>
          <w:p w:rsidR="00581BF7" w:rsidRPr="00D20404" w:rsidRDefault="00581BF7" w:rsidP="00581BF7">
            <w:pPr>
              <w:shd w:val="clear" w:color="auto" w:fill="FFFFFF"/>
              <w:rPr>
                <w:lang w:bidi="hi-IN"/>
              </w:rPr>
            </w:pPr>
            <w:r w:rsidRPr="00D20404">
              <w:rPr>
                <w:lang w:bidi="hi-IN"/>
              </w:rPr>
              <w:t>No. CIR/MIRSD/66/2016 dated July 21, 2016</w:t>
            </w: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r w:rsidRPr="00D20404">
              <w:rPr>
                <w:lang w:bidi="hi-IN"/>
              </w:rPr>
              <w:t>Clause 2 of SEBI Circular no. MIRSD/Cir</w:t>
            </w:r>
          </w:p>
          <w:p w:rsidR="00581BF7" w:rsidRPr="00D20404" w:rsidRDefault="00581BF7" w:rsidP="00581BF7">
            <w:pPr>
              <w:shd w:val="clear" w:color="auto" w:fill="FFFFFF"/>
              <w:rPr>
                <w:lang w:bidi="hi-IN"/>
              </w:rPr>
            </w:pPr>
            <w:r w:rsidRPr="00D20404">
              <w:rPr>
                <w:lang w:bidi="hi-IN"/>
              </w:rPr>
              <w:t>26/2011 dated December 23, 2011 read with SEBI Circular no. MIRSD/Cir 23/2011 dated December 2, 2011 and SEBI Circular no. MIRSD/Cir</w:t>
            </w:r>
          </w:p>
          <w:p w:rsidR="00581BF7" w:rsidRPr="00D20404" w:rsidRDefault="00581BF7" w:rsidP="00581BF7">
            <w:pPr>
              <w:shd w:val="clear" w:color="auto" w:fill="FFFFFF"/>
              <w:rPr>
                <w:lang w:bidi="hi-IN"/>
              </w:rPr>
            </w:pPr>
            <w:r w:rsidRPr="00D20404">
              <w:rPr>
                <w:lang w:bidi="hi-IN"/>
              </w:rPr>
              <w:t>5/2012 dated April 13, 2012.</w:t>
            </w: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r w:rsidRPr="00D20404">
              <w:rPr>
                <w:lang w:bidi="hi-IN"/>
              </w:rPr>
              <w:t>SEBI Circular No. SMDRP/Policy/CIR39/2001 dated July 18, 2001 read with NSE Circular No. NSE/INVG/2005/015 dated July 29, 2005</w:t>
            </w: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r w:rsidRPr="00D20404">
              <w:rPr>
                <w:lang w:bidi="hi-IN"/>
              </w:rPr>
              <w:t xml:space="preserve">SEBI Circular </w:t>
            </w:r>
          </w:p>
          <w:p w:rsidR="00581BF7" w:rsidRPr="00D20404" w:rsidRDefault="00581BF7" w:rsidP="00581BF7">
            <w:pPr>
              <w:shd w:val="clear" w:color="auto" w:fill="FFFFFF"/>
              <w:rPr>
                <w:lang w:bidi="hi-IN"/>
              </w:rPr>
            </w:pPr>
            <w:r w:rsidRPr="00D20404">
              <w:rPr>
                <w:lang w:bidi="hi-IN"/>
              </w:rPr>
              <w:t>No. CIR/MIRSD/16/2011 dated August 22, 2011.</w:t>
            </w:r>
          </w:p>
          <w:p w:rsidR="00581BF7" w:rsidRPr="00D20404" w:rsidRDefault="00581BF7" w:rsidP="00581BF7">
            <w:pPr>
              <w:shd w:val="clear" w:color="auto" w:fill="FFFFFF"/>
              <w:rPr>
                <w:lang w:bidi="hi-IN"/>
              </w:rPr>
            </w:pPr>
          </w:p>
          <w:p w:rsidR="00581BF7" w:rsidRPr="00D20404" w:rsidRDefault="00581BF7" w:rsidP="00581BF7">
            <w:pPr>
              <w:shd w:val="clear" w:color="auto" w:fill="FFFFFF"/>
              <w:rPr>
                <w:lang w:bidi="hi-IN"/>
              </w:rPr>
            </w:pPr>
            <w:r w:rsidRPr="00D20404">
              <w:rPr>
                <w:lang w:bidi="hi-IN"/>
              </w:rPr>
              <w:t>SEBI circular no. SMD/SED/CIR/93/23321 dated November 18, 1993;</w:t>
            </w:r>
          </w:p>
          <w:p w:rsidR="00581BF7" w:rsidRPr="00D20404" w:rsidRDefault="00581BF7" w:rsidP="00581BF7">
            <w:pPr>
              <w:rPr>
                <w:lang w:bidi="hi-IN"/>
              </w:rPr>
            </w:pPr>
            <w:r w:rsidRPr="00D20404">
              <w:rPr>
                <w:lang w:bidi="hi-IN"/>
              </w:rPr>
              <w:t>SEBI Circular No. SEBI/HO/MIRSD/MIRSD2/CIR/P/2016/95 dated September 26, 2016</w:t>
            </w:r>
          </w:p>
          <w:p w:rsidR="00581BF7" w:rsidRPr="00D20404" w:rsidRDefault="00581BF7" w:rsidP="00581BF7">
            <w:pPr>
              <w:rPr>
                <w:lang w:bidi="hi-IN"/>
              </w:rPr>
            </w:pPr>
            <w:r w:rsidRPr="00D20404">
              <w:rPr>
                <w:lang w:bidi="hi-IN"/>
              </w:rPr>
              <w:t xml:space="preserve">Section 23D of SCRA read with Clause 1 pf Annexure and Clause 3 of Annexure to SEBI Circular No. </w:t>
            </w:r>
          </w:p>
          <w:p w:rsidR="00581BF7" w:rsidRPr="00D20404" w:rsidRDefault="00581BF7" w:rsidP="00581BF7">
            <w:pPr>
              <w:spacing w:after="160" w:line="259" w:lineRule="auto"/>
              <w:rPr>
                <w:lang w:bidi="hi-IN"/>
              </w:rPr>
            </w:pPr>
            <w:r w:rsidRPr="00D20404">
              <w:rPr>
                <w:lang w:bidi="hi-IN"/>
              </w:rPr>
              <w:t xml:space="preserve">SEBI/HO/MIRSD/MIRSD2/CIR/P/2016/95 dated September 26, 2016 </w:t>
            </w:r>
          </w:p>
          <w:p w:rsidR="00581BF7" w:rsidRPr="00D20404" w:rsidRDefault="00581BF7" w:rsidP="00581BF7">
            <w:pPr>
              <w:rPr>
                <w:lang w:bidi="hi-IN"/>
              </w:rPr>
            </w:pPr>
            <w:r w:rsidRPr="00D20404">
              <w:rPr>
                <w:lang w:bidi="hi-IN"/>
              </w:rPr>
              <w:t>Provisions of clause 12 of Annexure to SEBI circular SEBI/MIRSD/SE/Cir-19/2009 dated December 03, 2009.</w:t>
            </w:r>
          </w:p>
          <w:p w:rsidR="00581BF7" w:rsidRPr="00D20404" w:rsidRDefault="00581BF7" w:rsidP="00581BF7">
            <w:pPr>
              <w:rPr>
                <w:lang w:bidi="hi-IN"/>
              </w:rPr>
            </w:pPr>
          </w:p>
          <w:p w:rsidR="00581BF7" w:rsidRPr="00D20404" w:rsidRDefault="00581BF7" w:rsidP="00581BF7">
            <w:pPr>
              <w:rPr>
                <w:lang w:bidi="hi-IN"/>
              </w:rPr>
            </w:pPr>
            <w:r w:rsidRPr="00D20404">
              <w:rPr>
                <w:lang w:bidi="hi-IN"/>
              </w:rPr>
              <w:t>CDSL Operating instructions point 6.5.4.9</w:t>
            </w:r>
          </w:p>
          <w:p w:rsidR="00581BF7" w:rsidRPr="00D20404" w:rsidRDefault="00581BF7" w:rsidP="00581BF7">
            <w:pPr>
              <w:rPr>
                <w:lang w:bidi="hi-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581BF7" w:rsidRPr="00D20404" w:rsidRDefault="00581BF7" w:rsidP="00581BF7">
            <w:pPr>
              <w:jc w:val="right"/>
              <w:rPr>
                <w:rFonts w:eastAsia="Calibri"/>
                <w:lang w:bidi="hi-IN"/>
              </w:rPr>
            </w:pPr>
            <w:r w:rsidRPr="00D20404">
              <w:rPr>
                <w:rFonts w:eastAsia="Calibri"/>
                <w:lang w:bidi="hi-IN"/>
              </w:rPr>
              <w:t>4,00,000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Pr="00A538EB" w:rsidRDefault="008136E3" w:rsidP="008136E3">
            <w:pPr>
              <w:jc w:val="both"/>
              <w:rPr>
                <w:color w:val="000000"/>
                <w:sz w:val="22"/>
                <w:szCs w:val="22"/>
                <w:lang w:val="en-IN" w:eastAsia="en-IN" w:bidi="hi-IN"/>
              </w:rPr>
            </w:pPr>
            <w:r>
              <w:rPr>
                <w:color w:val="000000"/>
                <w:sz w:val="22"/>
                <w:szCs w:val="22"/>
                <w:lang w:val="en-IN" w:eastAsia="en-IN" w:bidi="hi-IN"/>
              </w:rPr>
              <w:t>6</w:t>
            </w:r>
          </w:p>
        </w:tc>
        <w:tc>
          <w:tcPr>
            <w:tcW w:w="1418" w:type="dxa"/>
            <w:tcBorders>
              <w:top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09/03/2021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Anugrah Stock &amp; Broking Pvt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Anugrah Stock &amp; Broking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 xml:space="preserve">Section 23D   of   the Securities Contracts (Regulation) Act (SCRA) 1956, r/w </w:t>
            </w:r>
            <w:r w:rsidRPr="001D431F">
              <w:rPr>
                <w:rFonts w:ascii="Palatino Linotype" w:hAnsi="Palatino Linotype" w:cs="Arial"/>
                <w:sz w:val="23"/>
                <w:szCs w:val="23"/>
                <w:lang w:val="en-IN" w:eastAsia="en-IN" w:bidi="hi-IN"/>
              </w:rPr>
              <w:t xml:space="preserve">clause 1  of  Annexure  of SEBI  Circular </w:t>
            </w:r>
          </w:p>
          <w:p w:rsidR="008136E3" w:rsidRPr="001D431F" w:rsidRDefault="008136E3" w:rsidP="008136E3">
            <w:pPr>
              <w:shd w:val="clear" w:color="auto" w:fill="FFFFFF"/>
              <w:rPr>
                <w:rFonts w:ascii="Palatino Linotype" w:hAnsi="Palatino Linotype" w:cs="Arial"/>
                <w:sz w:val="23"/>
                <w:szCs w:val="23"/>
                <w:lang w:val="en-IN" w:eastAsia="en-IN" w:bidi="hi-IN"/>
              </w:rPr>
            </w:pPr>
            <w:r w:rsidRPr="001D431F">
              <w:rPr>
                <w:rFonts w:ascii="Palatino Linotype" w:hAnsi="Palatino Linotype" w:cs="Arial"/>
                <w:sz w:val="23"/>
                <w:szCs w:val="23"/>
                <w:lang w:val="en-IN" w:eastAsia="en-IN" w:bidi="hi-IN"/>
              </w:rPr>
              <w:t>SMD/SED/CIR/93/23321 d</w:t>
            </w:r>
            <w:r w:rsidRPr="001D431F">
              <w:rPr>
                <w:rFonts w:ascii="Palatino Linotype" w:eastAsia="Calibri" w:hAnsi="Palatino Linotype" w:cs="Arial"/>
                <w:sz w:val="23"/>
                <w:szCs w:val="23"/>
                <w:shd w:val="clear" w:color="auto" w:fill="FFFFFF"/>
                <w:lang w:bidi="hi-IN"/>
              </w:rPr>
              <w:t xml:space="preserve">ated   November 18, 1993 and clause 3 of Annexure of SEBI circular </w:t>
            </w:r>
            <w:r w:rsidRPr="001D431F">
              <w:rPr>
                <w:rFonts w:ascii="Palatino Linotype" w:eastAsia="Calibri" w:hAnsi="Palatino Linotype"/>
                <w:lang w:bidi="hi-IN"/>
              </w:rPr>
              <w:t>SEBI/HO/MIRSD</w:t>
            </w:r>
          </w:p>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/MIRSD2/CIR/P/2016/95 dated September 26, 2016 and Others.</w:t>
            </w:r>
          </w:p>
          <w:p w:rsidR="008136E3" w:rsidRPr="001D431F" w:rsidRDefault="008136E3" w:rsidP="008136E3">
            <w:pPr>
              <w:rPr>
                <w:rFonts w:ascii="Palatino Linotype" w:eastAsia="Calibri" w:hAnsi="Palatino Linotype"/>
                <w:lang w:bidi="hi-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jc w:val="right"/>
              <w:rPr>
                <w:rFonts w:ascii="Palatino Linotype" w:eastAsia="Calibri" w:hAnsi="Palatino Linotype"/>
                <w:lang w:bidi="hi-IN"/>
              </w:rPr>
            </w:pPr>
            <w:r w:rsidRPr="001D431F">
              <w:rPr>
                <w:rFonts w:ascii="Palatino Linotype" w:eastAsia="Calibri" w:hAnsi="Palatino Linotype"/>
                <w:lang w:bidi="hi-IN"/>
              </w:rPr>
              <w:t>90,00,000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Default="00C21F0D" w:rsidP="008136E3">
            <w:pPr>
              <w:jc w:val="both"/>
              <w:rPr>
                <w:color w:val="000000"/>
                <w:sz w:val="22"/>
                <w:szCs w:val="22"/>
                <w:lang w:val="en-IN" w:eastAsia="en-IN" w:bidi="hi-IN"/>
              </w:rPr>
            </w:pPr>
            <w:r>
              <w:rPr>
                <w:color w:val="000000"/>
                <w:sz w:val="22"/>
                <w:szCs w:val="22"/>
                <w:lang w:val="en-IN" w:eastAsia="en-IN" w:bidi="hi-IN"/>
              </w:rPr>
              <w:t>7</w:t>
            </w:r>
          </w:p>
        </w:tc>
        <w:tc>
          <w:tcPr>
            <w:tcW w:w="1418" w:type="dxa"/>
            <w:tcBorders>
              <w:top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09/03/2021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Vaksh Steels Private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Vaksh Steels Private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Regulations 3(a), (b), (c), (d) and 4(1), 4(2) (a)of Prohibition of Fraudulent and Unfair Trade Practices relating to the Securities Market (PFUTP),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jc w:val="right"/>
              <w:rPr>
                <w:rFonts w:ascii="Palatino Linotype" w:eastAsia="Calibri" w:hAnsi="Palatino Linotype"/>
                <w:lang w:bidi="hi-IN"/>
              </w:rPr>
            </w:pPr>
            <w:r w:rsidRPr="001D431F">
              <w:rPr>
                <w:rFonts w:ascii="Palatino Linotype" w:eastAsia="Calibri" w:hAnsi="Palatino Linotype"/>
                <w:lang w:bidi="hi-IN"/>
              </w:rPr>
              <w:t>5,00,000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Default="00C21F0D" w:rsidP="008136E3">
            <w:pPr>
              <w:jc w:val="both"/>
              <w:rPr>
                <w:color w:val="000000"/>
                <w:sz w:val="22"/>
                <w:szCs w:val="22"/>
                <w:lang w:val="en-IN" w:eastAsia="en-IN" w:bidi="hi-IN"/>
              </w:rPr>
            </w:pPr>
            <w:r>
              <w:rPr>
                <w:color w:val="000000"/>
                <w:sz w:val="22"/>
                <w:szCs w:val="22"/>
                <w:lang w:val="en-IN" w:eastAsia="en-IN" w:bidi="hi-IN"/>
              </w:rPr>
              <w:t>8</w:t>
            </w:r>
          </w:p>
        </w:tc>
        <w:tc>
          <w:tcPr>
            <w:tcW w:w="1418" w:type="dxa"/>
            <w:tcBorders>
              <w:top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09/03/2021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IPO of Tijaria Polypipes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Alok Jain Tijaria,</w:t>
            </w:r>
            <w:r w:rsidRPr="001D431F">
              <w:rPr>
                <w:rFonts w:ascii="Palatino Linotype" w:eastAsia="Calibri" w:hAnsi="Palatino Linotype" w:cs="Mangal"/>
                <w:sz w:val="22"/>
                <w:szCs w:val="20"/>
                <w:lang w:bidi="hi-IN"/>
              </w:rPr>
              <w:t xml:space="preserve"> </w:t>
            </w:r>
            <w:r w:rsidRPr="001D431F">
              <w:rPr>
                <w:rFonts w:ascii="Palatino Linotype" w:eastAsia="Calibri" w:hAnsi="Palatino Linotype"/>
                <w:lang w:bidi="hi-IN"/>
              </w:rPr>
              <w:t>Vineet Jain Tijaria,</w:t>
            </w:r>
            <w:r w:rsidRPr="001D431F">
              <w:rPr>
                <w:rFonts w:ascii="Palatino Linotype" w:eastAsia="Calibri" w:hAnsi="Palatino Linotype" w:cs="Mangal"/>
                <w:sz w:val="22"/>
                <w:szCs w:val="20"/>
                <w:lang w:bidi="hi-IN"/>
              </w:rPr>
              <w:t xml:space="preserve"> </w:t>
            </w:r>
            <w:r w:rsidRPr="001D431F">
              <w:rPr>
                <w:rFonts w:ascii="Palatino Linotype" w:eastAsia="Calibri" w:hAnsi="Palatino Linotype"/>
                <w:lang w:bidi="hi-IN"/>
              </w:rPr>
              <w:t>Vikas Jain Tijaria, Praveen Jain Tijaria.</w:t>
            </w:r>
          </w:p>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 xml:space="preserve">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Regulations 57(1) and 57(2), Schedule   VIII,   Part A(16), 59, 60(4)  and  60(7)(a) of Issue of Capital and Disclosure Requirements (ICDR) Regulations, 2009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jc w:val="right"/>
              <w:rPr>
                <w:rFonts w:ascii="Palatino Linotype" w:eastAsia="Calibri" w:hAnsi="Palatino Linotype"/>
                <w:lang w:bidi="hi-IN"/>
              </w:rPr>
            </w:pPr>
            <w:r w:rsidRPr="001D431F">
              <w:rPr>
                <w:rFonts w:ascii="Palatino Linotype" w:eastAsia="Calibri" w:hAnsi="Palatino Linotype"/>
                <w:lang w:bidi="hi-IN"/>
              </w:rPr>
              <w:t>8,00,000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Default="00C21F0D" w:rsidP="008136E3">
            <w:pPr>
              <w:jc w:val="both"/>
              <w:rPr>
                <w:color w:val="000000"/>
                <w:sz w:val="22"/>
                <w:szCs w:val="22"/>
                <w:lang w:val="en-IN" w:eastAsia="en-IN" w:bidi="hi-IN"/>
              </w:rPr>
            </w:pPr>
            <w:r>
              <w:rPr>
                <w:color w:val="000000"/>
                <w:sz w:val="22"/>
                <w:szCs w:val="22"/>
                <w:lang w:val="en-IN" w:eastAsia="en-IN" w:bidi="hi-IN"/>
              </w:rPr>
              <w:t>9</w:t>
            </w:r>
          </w:p>
        </w:tc>
        <w:tc>
          <w:tcPr>
            <w:tcW w:w="1418" w:type="dxa"/>
            <w:tcBorders>
              <w:top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10/03/2021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Swastika Commodities Pvt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Swastika Commodities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Section 23D of The Securities Contracts (Regulation) Act (SCRA) 1956,</w:t>
            </w:r>
          </w:p>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SEBI/MIRSD/SE/CIR-19/2009,</w:t>
            </w:r>
          </w:p>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CIR/MIRSD/15/2011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jc w:val="right"/>
              <w:rPr>
                <w:rFonts w:ascii="Palatino Linotype" w:eastAsia="Calibri" w:hAnsi="Palatino Linotype"/>
                <w:lang w:bidi="hi-IN"/>
              </w:rPr>
            </w:pPr>
            <w:r w:rsidRPr="001D431F">
              <w:rPr>
                <w:rFonts w:ascii="Palatino Linotype" w:eastAsia="Calibri" w:hAnsi="Palatino Linotype"/>
                <w:lang w:bidi="hi-IN"/>
              </w:rPr>
              <w:t>7,00,000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Default="00C21F0D" w:rsidP="008136E3">
            <w:pPr>
              <w:jc w:val="both"/>
              <w:rPr>
                <w:color w:val="000000"/>
                <w:sz w:val="22"/>
                <w:szCs w:val="22"/>
                <w:lang w:val="en-IN" w:eastAsia="en-IN" w:bidi="hi-IN"/>
              </w:rPr>
            </w:pPr>
            <w:r>
              <w:rPr>
                <w:color w:val="000000"/>
                <w:sz w:val="22"/>
                <w:szCs w:val="22"/>
                <w:lang w:val="en-IN" w:eastAsia="en-IN" w:bidi="hi-IN"/>
              </w:rPr>
              <w:t>10</w:t>
            </w:r>
          </w:p>
        </w:tc>
        <w:tc>
          <w:tcPr>
            <w:tcW w:w="1418" w:type="dxa"/>
            <w:tcBorders>
              <w:top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10/03/2021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Anukaran Commercial Enterprises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Rajesh Chetanji Tawri, Aanand Balavantrai Boghani, Kaushik Bipinchandra Dhanki, Mountain View Developers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Regulations 3(a), (b), (c), (d) and 4(1), 4(2) (a), (e) of Prohibition of Fraudulent and Unfair Trade Practices relating to the Securities Market (PFUTP),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jc w:val="right"/>
              <w:rPr>
                <w:rFonts w:ascii="Palatino Linotype" w:eastAsia="Calibri" w:hAnsi="Palatino Linotype"/>
                <w:lang w:bidi="hi-IN"/>
              </w:rPr>
            </w:pPr>
            <w:r w:rsidRPr="001D431F">
              <w:rPr>
                <w:rFonts w:ascii="Palatino Linotype" w:eastAsia="Calibri" w:hAnsi="Palatino Linotype"/>
                <w:lang w:bidi="hi-IN"/>
              </w:rPr>
              <w:t>20,00,000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Default="00C21F0D" w:rsidP="008136E3">
            <w:pPr>
              <w:jc w:val="both"/>
              <w:rPr>
                <w:color w:val="000000"/>
                <w:sz w:val="22"/>
                <w:szCs w:val="22"/>
                <w:lang w:val="en-IN" w:eastAsia="en-IN" w:bidi="hi-IN"/>
              </w:rPr>
            </w:pPr>
            <w:r>
              <w:rPr>
                <w:color w:val="000000"/>
                <w:sz w:val="22"/>
                <w:szCs w:val="22"/>
                <w:lang w:val="en-IN" w:eastAsia="en-IN" w:bidi="hi-IN"/>
              </w:rPr>
              <w:t>11</w:t>
            </w:r>
          </w:p>
        </w:tc>
        <w:tc>
          <w:tcPr>
            <w:tcW w:w="1418" w:type="dxa"/>
            <w:tcBorders>
              <w:top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10/03/2021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IPO of Esteem Bio Organic Food processing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FFFFFF"/>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Eco Friendly Food Processing Park Ltd</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Sections 11(3) and 11C(3) of SEBI Act,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jc w:val="right"/>
              <w:rPr>
                <w:rFonts w:ascii="Palatino Linotype" w:eastAsia="Calibri" w:hAnsi="Palatino Linotype"/>
                <w:lang w:bidi="hi-IN"/>
              </w:rPr>
            </w:pPr>
            <w:r w:rsidRPr="001D431F">
              <w:rPr>
                <w:rFonts w:ascii="Palatino Linotype" w:eastAsia="Calibri" w:hAnsi="Palatino Linotype"/>
                <w:lang w:bidi="hi-IN"/>
              </w:rPr>
              <w:t>10,00,000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Default="00C21F0D" w:rsidP="008136E3">
            <w:pPr>
              <w:jc w:val="both"/>
              <w:rPr>
                <w:color w:val="000000"/>
                <w:sz w:val="22"/>
                <w:szCs w:val="22"/>
                <w:lang w:val="en-IN" w:eastAsia="en-IN" w:bidi="hi-IN"/>
              </w:rPr>
            </w:pPr>
            <w:r>
              <w:rPr>
                <w:color w:val="000000"/>
                <w:sz w:val="22"/>
                <w:szCs w:val="22"/>
                <w:lang w:val="en-IN" w:eastAsia="en-IN" w:bidi="hi-IN"/>
              </w:rPr>
              <w:t>12</w:t>
            </w:r>
          </w:p>
        </w:tc>
        <w:tc>
          <w:tcPr>
            <w:tcW w:w="1418" w:type="dxa"/>
            <w:tcBorders>
              <w:top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10/03/2021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Anukaran Commercial Enterprises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Aishwarya Avenues Pvt Ltd,</w:t>
            </w:r>
          </w:p>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SKSE Securities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 xml:space="preserve">Clauses A (2), Schedule II, Regulation </w:t>
            </w:r>
            <w:r w:rsidRPr="001D431F">
              <w:rPr>
                <w:rFonts w:ascii="Palatino Linotype" w:eastAsia="Calibri" w:hAnsi="Palatino Linotype" w:cs="Arial"/>
                <w:sz w:val="23"/>
                <w:szCs w:val="23"/>
                <w:shd w:val="clear" w:color="auto" w:fill="FFFFFF"/>
                <w:lang w:bidi="hi-IN"/>
              </w:rPr>
              <w:t xml:space="preserve">9(f), </w:t>
            </w:r>
            <w:r w:rsidRPr="001D431F">
              <w:rPr>
                <w:rFonts w:ascii="Palatino Linotype" w:eastAsia="Calibri" w:hAnsi="Palatino Linotype"/>
                <w:lang w:bidi="hi-IN"/>
              </w:rPr>
              <w:t>15 of SEBI (Stock Brokers  &amp;  Sub  brokers) 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jc w:val="right"/>
              <w:rPr>
                <w:rFonts w:ascii="Palatino Linotype" w:eastAsia="Calibri" w:hAnsi="Palatino Linotype"/>
                <w:lang w:bidi="hi-IN"/>
              </w:rPr>
            </w:pPr>
            <w:r w:rsidRPr="001D431F">
              <w:rPr>
                <w:rFonts w:ascii="Palatino Linotype" w:eastAsia="Calibri" w:hAnsi="Palatino Linotype"/>
                <w:lang w:bidi="hi-IN"/>
              </w:rPr>
              <w:t>2,00,000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Default="00C21F0D" w:rsidP="008136E3">
            <w:pPr>
              <w:jc w:val="both"/>
              <w:rPr>
                <w:color w:val="000000"/>
                <w:sz w:val="22"/>
                <w:szCs w:val="22"/>
                <w:lang w:val="en-IN" w:eastAsia="en-IN" w:bidi="hi-IN"/>
              </w:rPr>
            </w:pPr>
            <w:r>
              <w:rPr>
                <w:color w:val="000000"/>
                <w:sz w:val="22"/>
                <w:szCs w:val="22"/>
                <w:lang w:val="en-IN" w:eastAsia="en-IN" w:bidi="hi-IN"/>
              </w:rPr>
              <w:t>13</w:t>
            </w:r>
          </w:p>
        </w:tc>
        <w:tc>
          <w:tcPr>
            <w:tcW w:w="1418" w:type="dxa"/>
            <w:tcBorders>
              <w:top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12/03/2021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Cosboard Industries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Shiv Shankar Taparia, Ram Kishore Taparia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1D431F" w:rsidRDefault="008136E3" w:rsidP="008136E3">
            <w:pPr>
              <w:rPr>
                <w:rFonts w:ascii="Palatino Linotype" w:eastAsia="Calibri" w:hAnsi="Palatino Linotype"/>
                <w:lang w:bidi="hi-IN"/>
              </w:rPr>
            </w:pPr>
            <w:r w:rsidRPr="001D431F">
              <w:rPr>
                <w:rFonts w:ascii="Palatino Linotype" w:eastAsia="Calibri" w:hAnsi="Palatino Linotype"/>
                <w:lang w:bidi="hi-IN"/>
              </w:rPr>
              <w:t>Regulation 31(1), (3), SEBI (Substantial Acquisition of Shares and Takeovers) Regulations, 2011</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1D431F" w:rsidRDefault="008136E3" w:rsidP="008136E3">
            <w:pPr>
              <w:jc w:val="right"/>
              <w:rPr>
                <w:rFonts w:eastAsia="Calibri"/>
                <w:lang w:bidi="hi-IN"/>
              </w:rPr>
            </w:pPr>
            <w:r w:rsidRPr="001D431F">
              <w:rPr>
                <w:rFonts w:eastAsia="Calibri"/>
                <w:lang w:bidi="hi-IN"/>
              </w:rPr>
              <w:t>4,00,000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14</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15/03/2021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Illiquid Stock Options at the BSE</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Mascot Bullions Pvt Ltd</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Regulation 3(a),  (b),  (c),  (d), 4(1) and 4(2)(a) 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5,00,000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15</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15/03/2021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United Textiles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Chhotalal Ramjibhai Bhanderi</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Regulation 29(1), (3) of SEBI  (Substantial  Acquisition  of  Shares  and Takeovers) Regulations, 2011.</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1,00,000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16</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16/03/2021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Kanchan International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Kanchan Kitchen Aid Pvt.,Ltd.</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 xml:space="preserve">Section 11 (3) and 11C (3) of SEBI Act, 1992. </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5,00,000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17</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16/03/2021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Aroma Enterprises (India)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 xml:space="preserve">Ravi Malhotra, Rajika Malhotra, Muskaan Malhotra, Shairee Malhotra, Makkanlal Sharma, Sirhind Steel Ltd. </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 xml:space="preserve">Regulation 7(1A), 11(2) of </w:t>
            </w:r>
            <w:r w:rsidRPr="007448DA">
              <w:rPr>
                <w:rFonts w:ascii="Calibri" w:eastAsia="Calibri" w:hAnsi="Calibri" w:cs="Mangal"/>
                <w:sz w:val="22"/>
                <w:szCs w:val="20"/>
                <w:lang w:bidi="hi-IN"/>
              </w:rPr>
              <w:t xml:space="preserve">SEBI </w:t>
            </w:r>
            <w:r w:rsidRPr="007448DA">
              <w:rPr>
                <w:rFonts w:eastAsia="Calibri"/>
                <w:lang w:bidi="hi-IN"/>
              </w:rPr>
              <w:t>(Substantial  Acquisition  of  Shares  and  Takeover) Regulations, 1997</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53,00,000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18</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17/03/2021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Prakash Constrowell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Krishnan G. Trichur</w:t>
            </w:r>
          </w:p>
          <w:p w:rsidR="00FE3FAE" w:rsidRPr="007448DA" w:rsidRDefault="00FE3FAE" w:rsidP="00FE3FAE">
            <w:pPr>
              <w:rPr>
                <w:rFonts w:eastAsia="Calibri"/>
                <w:lang w:bidi="hi-IN"/>
              </w:rPr>
            </w:pP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Clause  1  of  Schedule  A and   Regulation  8(1)  of SEBI (Prohibition  of  Insider  Trading) Regulations 2015.</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1,00,000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19</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18/03/2021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Concept Securities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 xml:space="preserve">Concept Securities Ltd, R. Wadiwala Securities Pvt. Ltd. </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Section 23D of SEBI (Securities Contracts) SCRA Regulation Act, 1956</w:t>
            </w:r>
          </w:p>
          <w:p w:rsidR="00FE3FAE" w:rsidRPr="007448DA" w:rsidRDefault="00FE3FAE" w:rsidP="00FE3FAE">
            <w:pPr>
              <w:rPr>
                <w:rFonts w:eastAsia="Calibri"/>
                <w:lang w:bidi="hi-IN"/>
              </w:rPr>
            </w:pPr>
            <w:r w:rsidRPr="007448DA">
              <w:rPr>
                <w:rFonts w:eastAsia="Calibri"/>
                <w:lang w:bidi="hi-IN"/>
              </w:rPr>
              <w:t>CIR/HO/MIRSD/MIRSD2/</w:t>
            </w:r>
          </w:p>
          <w:p w:rsidR="00FE3FAE" w:rsidRPr="007448DA" w:rsidRDefault="00FE3FAE" w:rsidP="00FE3FAE">
            <w:pPr>
              <w:rPr>
                <w:rFonts w:eastAsia="Calibri"/>
                <w:lang w:bidi="hi-IN"/>
              </w:rPr>
            </w:pPr>
            <w:r w:rsidRPr="007448DA">
              <w:rPr>
                <w:rFonts w:eastAsia="Calibri"/>
                <w:lang w:bidi="hi-IN"/>
              </w:rPr>
              <w:t xml:space="preserve">CIR/P/2017/64, </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4,00,000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20</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18/03/2021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Visu International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Visu International Ltd, B Prabhakar Reddy, K Viswanath Reddy, Mukesh Charuadiya</w:t>
            </w:r>
          </w:p>
          <w:p w:rsidR="00FE3FAE" w:rsidRPr="007448DA" w:rsidRDefault="00FE3FAE" w:rsidP="00FE3FAE">
            <w:pPr>
              <w:rPr>
                <w:rFonts w:eastAsia="Calibri"/>
                <w:lang w:bidi="hi-IN"/>
              </w:rPr>
            </w:pP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Section 12 A (a) (b) (c) of SEBI Act 1992. Regulation 3 (a) (b) (c) (d), 4 (1), 4 (2) (f) (k) (r) of SEBI (Prohibition of Insider Trading) Regulations, 2003.</w:t>
            </w:r>
          </w:p>
          <w:p w:rsidR="00FE3FAE" w:rsidRPr="007448DA" w:rsidRDefault="00FE3FAE" w:rsidP="00FE3FAE">
            <w:pPr>
              <w:rPr>
                <w:rFonts w:eastAsia="Calibri"/>
                <w:lang w:bidi="hi-IN"/>
              </w:rPr>
            </w:pPr>
            <w:r w:rsidRPr="007448DA">
              <w:rPr>
                <w:rFonts w:eastAsia="Calibri"/>
                <w:lang w:bidi="hi-IN"/>
              </w:rPr>
              <w:t>Section 21,  23E  of SEBI (Securities Contract)  (Procedure  for  Holding  Inquiry  and  Imposing  Penalties) Rules, SCRA, 2005</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1,65,00,000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21</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18/03/2021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Supreme Tex Mart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SINDIA Investment Group PTE Ltd.</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Regulation  29(2) and (3)  of SEBI (Substantial  Acquisition  of  Shares  &amp;  Takeovers) Regulations, 2011</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2,00,000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22</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18/03/2021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Supreme Tex Mart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Neeleshkumar Radheshyam Lahoti</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 xml:space="preserve">Section 11C (2), (3) of SEBI Act 1992. </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8,00,000</w:t>
            </w:r>
          </w:p>
        </w:tc>
      </w:tr>
      <w:tr w:rsidR="00FE3FAE" w:rsidRPr="00B83873" w:rsidTr="002C4AB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23</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Prakash Constrowell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Vyoman Tradelink India Pvt. Ltd.</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 xml:space="preserve">Regulations 29(2), (3) &amp; (4) of SEBI (Substantial  Acquisition  of  Shares  &amp;  Takeovers) Regulations, 2011 </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1,00,000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24</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Cityon Systems (India) Ltd</w:t>
            </w:r>
          </w:p>
        </w:tc>
        <w:tc>
          <w:tcPr>
            <w:tcW w:w="1418"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Adjudication</w:t>
            </w:r>
          </w:p>
        </w:tc>
        <w:tc>
          <w:tcPr>
            <w:tcW w:w="2126"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rPr>
                <w:rFonts w:eastAsia="Calibri"/>
                <w:lang w:bidi="hi-IN"/>
              </w:rPr>
            </w:pPr>
            <w:r w:rsidRPr="007448DA">
              <w:rPr>
                <w:rFonts w:eastAsia="Calibri"/>
                <w:lang w:bidi="hi-IN"/>
              </w:rPr>
              <w:t xml:space="preserve">Cityon Nano Technology Pvt. Ltd, Bansal Suppliers Pvt. Ltd, Nirbharant Management Consultants Pvt. Ltd, Ashesh Agarwal HUF, Deepak Sehgal. </w:t>
            </w:r>
          </w:p>
        </w:tc>
        <w:tc>
          <w:tcPr>
            <w:tcW w:w="2268" w:type="dxa"/>
            <w:tcBorders>
              <w:top w:val="single" w:sz="4" w:space="0" w:color="auto"/>
              <w:left w:val="single" w:sz="4" w:space="0" w:color="auto"/>
              <w:bottom w:val="single" w:sz="4" w:space="0" w:color="auto"/>
              <w:right w:val="single" w:sz="4" w:space="0" w:color="auto"/>
            </w:tcBorders>
          </w:tcPr>
          <w:p w:rsidR="00FE3FAE" w:rsidRPr="007448DA" w:rsidRDefault="00FE3FAE" w:rsidP="00FE3FAE">
            <w:pPr>
              <w:rPr>
                <w:rFonts w:eastAsia="Calibri"/>
                <w:lang w:bidi="hi-IN"/>
              </w:rPr>
            </w:pPr>
            <w:r w:rsidRPr="007448DA">
              <w:rPr>
                <w:rFonts w:eastAsia="Calibri"/>
                <w:lang w:bidi="hi-IN"/>
              </w:rPr>
              <w:t xml:space="preserve">Sections 12A(a), (b) &amp; (c) of the SEBI Act1992, Regulation 13 (3), (5) of SEBI (Prohibition of Insider Trading) Regulations, 2015, </w:t>
            </w:r>
          </w:p>
          <w:p w:rsidR="00FE3FAE" w:rsidRPr="007448DA" w:rsidRDefault="00FE3FAE" w:rsidP="00FE3FAE">
            <w:pPr>
              <w:rPr>
                <w:rFonts w:eastAsia="Calibri"/>
                <w:lang w:bidi="hi-IN"/>
              </w:rPr>
            </w:pPr>
            <w:r w:rsidRPr="007448DA">
              <w:rPr>
                <w:rFonts w:eastAsia="Calibri"/>
                <w:lang w:bidi="hi-IN"/>
              </w:rPr>
              <w:t>Regulations 3(a), (b), (c) &amp; (d), 4(1) and 4(2)(a) &amp; (e) 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7448DA" w:rsidRDefault="00FE3FAE" w:rsidP="00FE3FAE">
            <w:pPr>
              <w:jc w:val="right"/>
              <w:rPr>
                <w:rFonts w:eastAsia="Calibri"/>
                <w:lang w:bidi="hi-IN"/>
              </w:rPr>
            </w:pPr>
            <w:r w:rsidRPr="007448DA">
              <w:rPr>
                <w:rFonts w:eastAsia="Calibri"/>
                <w:lang w:bidi="hi-IN"/>
              </w:rPr>
              <w:t>46,00,000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25</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23/03/2021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IPO of Timbor Home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 xml:space="preserve">Anant </w:t>
            </w:r>
          </w:p>
          <w:p w:rsidR="00FE3FAE" w:rsidRPr="00771272" w:rsidRDefault="00FE3FAE" w:rsidP="00FE3FAE">
            <w:pPr>
              <w:pStyle w:val="Default"/>
              <w:rPr>
                <w:rFonts w:ascii="Palatino Linotype" w:hAnsi="Palatino Linotype"/>
                <w:sz w:val="22"/>
                <w:szCs w:val="22"/>
              </w:rPr>
            </w:pPr>
            <w:r w:rsidRPr="00771272">
              <w:rPr>
                <w:rFonts w:ascii="Palatino Linotype" w:hAnsi="Palatino Linotype"/>
                <w:sz w:val="22"/>
                <w:szCs w:val="22"/>
              </w:rPr>
              <w:t xml:space="preserve">Sureshchandra </w:t>
            </w:r>
          </w:p>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 xml:space="preserve">Maloo, Manan </w:t>
            </w:r>
          </w:p>
          <w:p w:rsidR="00FE3FAE" w:rsidRPr="00771272" w:rsidRDefault="00FE3FAE" w:rsidP="00FE3FAE">
            <w:pPr>
              <w:pStyle w:val="Default"/>
              <w:rPr>
                <w:rFonts w:ascii="Palatino Linotype" w:hAnsi="Palatino Linotype"/>
                <w:sz w:val="22"/>
                <w:szCs w:val="22"/>
              </w:rPr>
            </w:pPr>
            <w:r w:rsidRPr="00771272">
              <w:rPr>
                <w:rFonts w:ascii="Palatino Linotype" w:hAnsi="Palatino Linotype"/>
                <w:sz w:val="22"/>
                <w:szCs w:val="22"/>
              </w:rPr>
              <w:t xml:space="preserve">Vidhyapati </w:t>
            </w:r>
          </w:p>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 xml:space="preserve">Patel,  </w:t>
            </w:r>
          </w:p>
          <w:p w:rsidR="00FE3FAE" w:rsidRPr="00771272" w:rsidRDefault="00FE3FAE" w:rsidP="00FE3FAE">
            <w:pPr>
              <w:pStyle w:val="Default"/>
              <w:rPr>
                <w:rFonts w:ascii="Palatino Linotype" w:hAnsi="Palatino Linotype"/>
                <w:sz w:val="22"/>
                <w:szCs w:val="22"/>
              </w:rPr>
            </w:pPr>
            <w:r w:rsidRPr="00771272">
              <w:rPr>
                <w:rFonts w:ascii="Palatino Linotype" w:hAnsi="Palatino Linotype"/>
                <w:sz w:val="22"/>
                <w:szCs w:val="22"/>
              </w:rPr>
              <w:t xml:space="preserve">Rohit Babulal Patel, </w:t>
            </w:r>
          </w:p>
          <w:p w:rsidR="00FE3FAE" w:rsidRPr="00771272" w:rsidRDefault="00FE3FAE" w:rsidP="00FE3FAE">
            <w:pPr>
              <w:pStyle w:val="Default"/>
              <w:rPr>
                <w:rFonts w:ascii="Palatino Linotype" w:hAnsi="Palatino Linotype"/>
                <w:sz w:val="22"/>
                <w:szCs w:val="22"/>
              </w:rPr>
            </w:pPr>
            <w:r w:rsidRPr="00771272">
              <w:rPr>
                <w:rFonts w:ascii="Palatino Linotype" w:hAnsi="Palatino Linotype"/>
                <w:sz w:val="22"/>
                <w:szCs w:val="22"/>
              </w:rPr>
              <w:t xml:space="preserve">Diptiben Rohitbhai Patel; </w:t>
            </w:r>
          </w:p>
          <w:p w:rsidR="00FE3FAE" w:rsidRPr="00771272" w:rsidRDefault="00FE3FAE" w:rsidP="00FE3FAE">
            <w:pPr>
              <w:pStyle w:val="Default"/>
              <w:rPr>
                <w:rFonts w:ascii="Palatino Linotype" w:hAnsi="Palatino Linotype"/>
                <w:sz w:val="22"/>
                <w:szCs w:val="22"/>
              </w:rPr>
            </w:pPr>
            <w:r w:rsidRPr="00771272">
              <w:rPr>
                <w:rFonts w:ascii="Palatino Linotype" w:hAnsi="Palatino Linotype"/>
                <w:sz w:val="22"/>
                <w:szCs w:val="22"/>
              </w:rPr>
              <w:t xml:space="preserve">Ajay Sureshchandra Maloo ; </w:t>
            </w:r>
          </w:p>
          <w:p w:rsidR="00FE3FAE" w:rsidRPr="00771272" w:rsidRDefault="00FE3FAE" w:rsidP="00FE3FAE">
            <w:pPr>
              <w:pStyle w:val="Default"/>
              <w:rPr>
                <w:rFonts w:ascii="Palatino Linotype" w:hAnsi="Palatino Linotype"/>
                <w:sz w:val="22"/>
                <w:szCs w:val="22"/>
              </w:rPr>
            </w:pPr>
            <w:r w:rsidRPr="00771272">
              <w:rPr>
                <w:rFonts w:ascii="Palatino Linotype" w:hAnsi="Palatino Linotype"/>
                <w:sz w:val="22"/>
                <w:szCs w:val="22"/>
              </w:rPr>
              <w:t xml:space="preserve">Nina Ajay Maloo; </w:t>
            </w:r>
          </w:p>
          <w:p w:rsidR="00FE3FAE" w:rsidRPr="00771272" w:rsidRDefault="00FE3FAE" w:rsidP="00FE3FAE">
            <w:pPr>
              <w:pStyle w:val="Default"/>
              <w:rPr>
                <w:rFonts w:ascii="Palatino Linotype" w:hAnsi="Palatino Linotype"/>
                <w:sz w:val="22"/>
                <w:szCs w:val="22"/>
              </w:rPr>
            </w:pPr>
            <w:r w:rsidRPr="00771272">
              <w:rPr>
                <w:rFonts w:ascii="Palatino Linotype" w:hAnsi="Palatino Linotype"/>
                <w:sz w:val="22"/>
                <w:szCs w:val="22"/>
              </w:rPr>
              <w:t xml:space="preserve">M/s Corporate Strategic Allianz Limited, M/s .Wood star (India) Pvt Ltd.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Section 12A (a) of SEBI Act, 1992 Regulations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3 (b), 4 (1), and 4(2)(f) </w:t>
            </w:r>
          </w:p>
          <w:p w:rsidR="00FE3FAE" w:rsidRPr="00771272" w:rsidRDefault="00FE3FAE" w:rsidP="00FE3FAE">
            <w:pPr>
              <w:shd w:val="clear" w:color="auto" w:fill="FFFFFF"/>
              <w:rPr>
                <w:rFonts w:ascii="Palatino Linotype" w:hAnsi="Palatino Linotype"/>
                <w:sz w:val="22"/>
                <w:szCs w:val="22"/>
                <w:lang w:val="en-IN" w:eastAsia="en-IN"/>
              </w:rPr>
            </w:pPr>
            <w:r w:rsidRPr="00771272">
              <w:rPr>
                <w:rFonts w:ascii="Palatino Linotype" w:hAnsi="Palatino Linotype"/>
                <w:sz w:val="22"/>
                <w:szCs w:val="22"/>
                <w:lang w:eastAsia="en-IN"/>
              </w:rPr>
              <w:t>of SEBI (</w:t>
            </w:r>
            <w:r w:rsidRPr="00771272">
              <w:rPr>
                <w:rFonts w:ascii="Palatino Linotype" w:hAnsi="Palatino Linotype"/>
                <w:color w:val="202124"/>
                <w:sz w:val="22"/>
                <w:szCs w:val="22"/>
                <w:shd w:val="clear" w:color="auto" w:fill="FFFFFF"/>
              </w:rPr>
              <w:t xml:space="preserve">Prohibition of Fraudulent and Unfair Trade Practices) </w:t>
            </w:r>
            <w:r w:rsidRPr="00771272">
              <w:rPr>
                <w:rFonts w:ascii="Palatino Linotype" w:hAnsi="Palatino Linotype"/>
                <w:sz w:val="22"/>
                <w:szCs w:val="22"/>
                <w:lang w:eastAsia="en-IN"/>
              </w:rPr>
              <w:t xml:space="preserve">Regulations (PFUTP Regulations), 2003. </w:t>
            </w:r>
          </w:p>
          <w:p w:rsidR="00FE3FAE" w:rsidRPr="00771272" w:rsidRDefault="00FE3FAE" w:rsidP="00FE3FAE">
            <w:pPr>
              <w:shd w:val="clear" w:color="auto" w:fill="FFFFFF"/>
              <w:rPr>
                <w:rFonts w:ascii="Palatino Linotype" w:hAnsi="Palatino Linotype"/>
                <w:sz w:val="22"/>
                <w:szCs w:val="22"/>
                <w:lang w:eastAsia="en-IN"/>
              </w:rPr>
            </w:pP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Regulation</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64(1) of </w:t>
            </w:r>
          </w:p>
          <w:p w:rsidR="00FE3FAE" w:rsidRPr="00771272" w:rsidRDefault="00FE3FAE" w:rsidP="00FE3FAE">
            <w:pPr>
              <w:pStyle w:val="Default"/>
              <w:rPr>
                <w:rFonts w:ascii="Palatino Linotype" w:hAnsi="Palatino Linotype"/>
                <w:sz w:val="22"/>
                <w:szCs w:val="22"/>
              </w:rPr>
            </w:pPr>
            <w:r w:rsidRPr="00771272">
              <w:rPr>
                <w:rFonts w:ascii="Palatino Linotype" w:hAnsi="Palatino Linotype"/>
                <w:color w:val="202124"/>
                <w:sz w:val="22"/>
                <w:szCs w:val="22"/>
                <w:shd w:val="clear" w:color="auto" w:fill="FFFFFF"/>
              </w:rPr>
              <w:t xml:space="preserve">SEBI (Issue of Capital and Disclosure Requirements) Regulations (ICDR Regulations), 2018 </w:t>
            </w:r>
          </w:p>
          <w:p w:rsidR="00FE3FAE" w:rsidRPr="00771272" w:rsidRDefault="00FE3FAE" w:rsidP="00FE3FAE">
            <w:pPr>
              <w:pStyle w:val="Default"/>
              <w:rPr>
                <w:rFonts w:ascii="Palatino Linotype" w:hAnsi="Palatino Linotype"/>
                <w:color w:val="202124"/>
                <w:sz w:val="22"/>
                <w:szCs w:val="22"/>
                <w:shd w:val="clear" w:color="auto" w:fill="FFFFFF"/>
              </w:rPr>
            </w:pPr>
            <w:r w:rsidRPr="00771272">
              <w:rPr>
                <w:rFonts w:ascii="Palatino Linotype" w:hAnsi="Palatino Linotype"/>
                <w:sz w:val="22"/>
                <w:szCs w:val="22"/>
              </w:rPr>
              <w:t>and Clauses 1, 4, 6 and 7 specified in schedule III of the Merchant Banker Regulations read with Regulation 13 of the Merchant Banker Regulations.</w:t>
            </w:r>
            <w:r w:rsidRPr="00771272">
              <w:rPr>
                <w:rFonts w:ascii="Palatino Linotype" w:hAnsi="Palatino Linotype"/>
                <w:color w:val="202124"/>
                <w:sz w:val="22"/>
                <w:szCs w:val="22"/>
                <w:shd w:val="clear" w:color="auto" w:fill="FFFFFF"/>
              </w:rPr>
              <w:t xml:space="preserve"> </w:t>
            </w:r>
          </w:p>
          <w:p w:rsidR="00FE3FAE" w:rsidRPr="00771272" w:rsidRDefault="00FE3FAE" w:rsidP="00FE3FAE">
            <w:pPr>
              <w:rPr>
                <w:rFonts w:ascii="Palatino Linotype" w:hAnsi="Palatino Linotype"/>
                <w:sz w:val="22"/>
                <w:szCs w:val="22"/>
              </w:rPr>
            </w:pPr>
          </w:p>
          <w:p w:rsidR="00FE3FAE" w:rsidRPr="00771272" w:rsidRDefault="00FE3FAE" w:rsidP="00FE3FAE">
            <w:pPr>
              <w:rPr>
                <w:rFonts w:ascii="Palatino Linotype" w:hAnsi="Palatino Linotype"/>
                <w:color w:val="202124"/>
                <w:sz w:val="22"/>
                <w:szCs w:val="22"/>
                <w:shd w:val="clear" w:color="auto" w:fill="FFFFFF"/>
              </w:rPr>
            </w:pPr>
            <w:r w:rsidRPr="00771272">
              <w:rPr>
                <w:rFonts w:ascii="Palatino Linotype" w:hAnsi="Palatino Linotype"/>
                <w:color w:val="202124"/>
                <w:sz w:val="22"/>
                <w:szCs w:val="22"/>
                <w:shd w:val="clear" w:color="auto" w:fill="FFFFFF"/>
              </w:rPr>
              <w:t xml:space="preserve">Regulations 57 (1) and 57 (2) (a) read with Clause 2 (VII) (G) of part A of schedule </w:t>
            </w:r>
          </w:p>
          <w:p w:rsidR="00FE3FAE" w:rsidRPr="00771272" w:rsidRDefault="00FE3FAE" w:rsidP="00FE3FAE">
            <w:pPr>
              <w:rPr>
                <w:rFonts w:ascii="Palatino Linotype" w:hAnsi="Palatino Linotype"/>
                <w:color w:val="202124"/>
                <w:sz w:val="22"/>
                <w:szCs w:val="22"/>
                <w:shd w:val="clear" w:color="auto" w:fill="FFFFFF"/>
              </w:rPr>
            </w:pPr>
            <w:r w:rsidRPr="00771272">
              <w:rPr>
                <w:rFonts w:ascii="Palatino Linotype" w:hAnsi="Palatino Linotype"/>
                <w:color w:val="202124"/>
                <w:sz w:val="22"/>
                <w:szCs w:val="22"/>
                <w:shd w:val="clear" w:color="auto" w:fill="FFFFFF"/>
              </w:rPr>
              <w:t>VIII of the ICDR Regulations</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17,00,000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26</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23/03/2021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Prakash Constrowell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Setubandhan Infrastructure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 7(2)(b) of </w:t>
            </w:r>
            <w:r w:rsidRPr="00771272">
              <w:rPr>
                <w:rFonts w:ascii="Palatino Linotype" w:hAnsi="Palatino Linotype"/>
                <w:color w:val="202124"/>
                <w:sz w:val="22"/>
                <w:szCs w:val="22"/>
                <w:shd w:val="clear" w:color="auto" w:fill="FFFFFF"/>
              </w:rPr>
              <w:t xml:space="preserve">Prohibition of Insider Trade </w:t>
            </w:r>
            <w:r w:rsidRPr="00771272">
              <w:rPr>
                <w:rFonts w:ascii="Palatino Linotype" w:hAnsi="Palatino Linotype"/>
                <w:sz w:val="22"/>
                <w:szCs w:val="22"/>
                <w:lang w:eastAsia="en-IN"/>
              </w:rPr>
              <w:t xml:space="preserve">Regulations </w:t>
            </w:r>
            <w:r w:rsidRPr="00771272">
              <w:rPr>
                <w:rFonts w:ascii="Palatino Linotype" w:hAnsi="Palatino Linotype"/>
                <w:color w:val="202124"/>
                <w:sz w:val="22"/>
                <w:szCs w:val="22"/>
                <w:shd w:val="clear" w:color="auto" w:fill="FFFFFF"/>
              </w:rPr>
              <w:t>(</w:t>
            </w:r>
            <w:r w:rsidRPr="00771272">
              <w:rPr>
                <w:rFonts w:ascii="Palatino Linotype" w:hAnsi="Palatino Linotype"/>
                <w:sz w:val="22"/>
                <w:szCs w:val="22"/>
                <w:lang w:eastAsia="en-IN"/>
              </w:rPr>
              <w:t xml:space="preserve">PIT Regulations), 2015. </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1,00,000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27</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23/03/2021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Timbor Home</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Ltd</w:t>
            </w:r>
          </w:p>
          <w:p w:rsidR="00FE3FAE" w:rsidRPr="00771272"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cs="Arial"/>
                <w:sz w:val="22"/>
                <w:szCs w:val="22"/>
                <w:lang w:val="en-IN" w:eastAsia="en-IN" w:bidi="hi-IN"/>
              </w:rPr>
              <w:t>Paresh Nathalal Chauhan</w:t>
            </w:r>
            <w:r w:rsidRPr="00771272">
              <w:rPr>
                <w:rFonts w:ascii="Palatino Linotype" w:hAnsi="Palatino Linotype"/>
                <w:sz w:val="22"/>
                <w:szCs w:val="22"/>
              </w:rPr>
              <w:t xml:space="preserve"> and 15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3(a), 3 (b), 4 (1), 4(2)(a),  4(2)(f) </w:t>
            </w:r>
          </w:p>
          <w:p w:rsidR="00FE3FAE" w:rsidRPr="00771272" w:rsidRDefault="00FE3FAE" w:rsidP="00FE3FAE">
            <w:pPr>
              <w:rPr>
                <w:rFonts w:ascii="Palatino Linotype" w:hAnsi="Palatino Linotype"/>
                <w:sz w:val="22"/>
                <w:szCs w:val="22"/>
              </w:rPr>
            </w:pPr>
            <w:r w:rsidRPr="00771272">
              <w:rPr>
                <w:rFonts w:ascii="Palatino Linotype" w:hAnsi="Palatino Linotype"/>
                <w:sz w:val="22"/>
                <w:szCs w:val="22"/>
                <w:lang w:eastAsia="en-IN"/>
              </w:rPr>
              <w:t xml:space="preserve">of PFUTP Regulations, 2003.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75,00,000</w:t>
            </w:r>
          </w:p>
          <w:p w:rsidR="00FE3FAE" w:rsidRPr="00771272" w:rsidRDefault="00FE3FAE" w:rsidP="00FE3FAE">
            <w:pPr>
              <w:jc w:val="right"/>
              <w:rPr>
                <w:rFonts w:ascii="Palatino Linotype" w:hAnsi="Palatino Linotype"/>
                <w:sz w:val="22"/>
                <w:szCs w:val="22"/>
              </w:rPr>
            </w:pP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28</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shd w:val="clear" w:color="auto" w:fill="FFFFFF"/>
              </w:rPr>
            </w:pPr>
            <w:r w:rsidRPr="00771272">
              <w:rPr>
                <w:rFonts w:ascii="Palatino Linotype" w:hAnsi="Palatino Linotype"/>
                <w:sz w:val="22"/>
                <w:szCs w:val="22"/>
                <w:shd w:val="clear" w:color="auto" w:fill="FFFFFF"/>
              </w:rPr>
              <w:t>23/03/2021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shd w:val="clear" w:color="auto" w:fill="FFFFFF"/>
              </w:rPr>
            </w:pPr>
            <w:r w:rsidRPr="00771272">
              <w:rPr>
                <w:rFonts w:ascii="Palatino Linotype" w:hAnsi="Palatino Linotype"/>
                <w:sz w:val="22"/>
                <w:szCs w:val="22"/>
                <w:shd w:val="clear" w:color="auto" w:fill="FFFFFF"/>
              </w:rPr>
              <w:t>KGN Enterprise Limited, Polytex India Limited and Gemstone India Limited</w:t>
            </w:r>
          </w:p>
          <w:p w:rsidR="00FE3FAE" w:rsidRPr="00771272" w:rsidRDefault="00FE3FAE" w:rsidP="00FE3FAE">
            <w:pPr>
              <w:rPr>
                <w:rFonts w:ascii="Palatino Linotype" w:hAnsi="Palatino Linotype"/>
                <w:sz w:val="22"/>
                <w:szCs w:val="22"/>
                <w:shd w:val="clear" w:color="auto" w:fill="FFFFFF"/>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Bhavesh Pabari , </w:t>
            </w:r>
            <w:r w:rsidRPr="00771272">
              <w:rPr>
                <w:rFonts w:ascii="Palatino Linotype" w:hAnsi="Palatino Linotype"/>
                <w:sz w:val="22"/>
                <w:szCs w:val="22"/>
                <w:shd w:val="clear" w:color="auto" w:fill="FFFFFF"/>
              </w:rPr>
              <w:t>Hemant Sheth, Prem Parikh, Ankit Sanchaniya</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Regulations 3 (a), (b), (c), (d), 4 (1), 4 (2) (a), (b), (e) and (g) of PFUTP Regulations, 2003 and</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section 12A (a), (b) and (c) of SEBI Act, 1992.</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40,00,000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29</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24/03/2021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Dwitiya Trading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shd w:val="clear" w:color="auto" w:fill="FFFFFF"/>
              </w:rPr>
              <w:t xml:space="preserve">AlokTodi, and 12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Regulations 13(4A) read with 13(5) of PIT Regulations, 1992.</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12,00,000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30</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24/03/2021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Non-redressal of</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complaints</w:t>
            </w:r>
          </w:p>
          <w:p w:rsidR="00FE3FAE" w:rsidRPr="00771272"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Amit Kumar Dewda Propreitor M/s Avid Research Investment Adviser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SEBI Circular CIR/OIAE/2014 dated December 18, 2014 r/w, Regulation 21(1) of SEBI (</w:t>
            </w:r>
            <w:r w:rsidRPr="00771272">
              <w:rPr>
                <w:rFonts w:ascii="Palatino Linotype" w:hAnsi="Palatino Linotype"/>
                <w:color w:val="202124"/>
                <w:sz w:val="22"/>
                <w:szCs w:val="22"/>
                <w:shd w:val="clear" w:color="auto" w:fill="FFFFFF"/>
              </w:rPr>
              <w:t xml:space="preserve">Investment Advisers) </w:t>
            </w:r>
            <w:r w:rsidRPr="00771272">
              <w:rPr>
                <w:rFonts w:ascii="Palatino Linotype" w:hAnsi="Palatino Linotype"/>
                <w:sz w:val="22"/>
                <w:szCs w:val="22"/>
                <w:shd w:val="clear" w:color="auto" w:fill="FFFFFF"/>
              </w:rPr>
              <w:t xml:space="preserve">Regulations </w:t>
            </w:r>
            <w:r w:rsidRPr="00771272">
              <w:rPr>
                <w:rFonts w:ascii="Palatino Linotype" w:hAnsi="Palatino Linotype"/>
                <w:color w:val="202124"/>
                <w:sz w:val="22"/>
                <w:szCs w:val="22"/>
                <w:shd w:val="clear" w:color="auto" w:fill="FFFFFF"/>
              </w:rPr>
              <w:t>(</w:t>
            </w:r>
            <w:r w:rsidRPr="00771272">
              <w:rPr>
                <w:rFonts w:ascii="Palatino Linotype" w:hAnsi="Palatino Linotype"/>
                <w:sz w:val="22"/>
                <w:szCs w:val="22"/>
                <w:shd w:val="clear" w:color="auto" w:fill="FFFFFF"/>
              </w:rPr>
              <w:t xml:space="preserve">IA Regulations), 2013.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1,00,000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31</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24/03/2021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Gujarat Arth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Basant Malpani</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 7(1) r/w Regulation 7(2) of Takeover Regulations, 2011 and Regulation 13(1) of Prohibition of Insider Trading Regulations, 2013. </w:t>
            </w:r>
          </w:p>
          <w:p w:rsidR="00FE3FAE" w:rsidRPr="00771272" w:rsidRDefault="00FE3FAE" w:rsidP="00FE3FAE">
            <w:pPr>
              <w:shd w:val="clear" w:color="auto" w:fill="FFFFFF"/>
              <w:rPr>
                <w:rFonts w:ascii="Palatino Linotype" w:hAnsi="Palatino Linotype"/>
                <w:sz w:val="22"/>
                <w:szCs w:val="22"/>
                <w:lang w:eastAsia="en-IN"/>
              </w:rPr>
            </w:pP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Regulations 4 (1), 4(2) (a), (b), (e), (g)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1,30,00,000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32</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25/03/2021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Resurgere Mines and Minerals India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 xml:space="preserve">Resurgere Mines and Minerals India Ltd, Subhas Sharma, Amit Sharma, Nitin Sethi.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Section 12 A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(a) (b) (c) of</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SEBI Act, 1992 r/w</w:t>
            </w:r>
          </w:p>
          <w:p w:rsidR="00FE3FAE" w:rsidRPr="00771272" w:rsidRDefault="00FE3FAE" w:rsidP="00FE3FAE">
            <w:pPr>
              <w:shd w:val="clear" w:color="auto" w:fill="FFFFFF"/>
              <w:rPr>
                <w:rFonts w:ascii="Palatino Linotype" w:hAnsi="Palatino Linotype"/>
                <w:sz w:val="22"/>
                <w:szCs w:val="22"/>
                <w:lang w:eastAsia="en-IN"/>
              </w:rPr>
            </w:pP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 3 (a) (b) (c), (d), 4 (1), 4 (2) (f) (k) (r) of </w:t>
            </w:r>
            <w:r w:rsidRPr="00771272">
              <w:rPr>
                <w:rFonts w:ascii="Palatino Linotype" w:hAnsi="Palatino Linotype"/>
                <w:color w:val="202124"/>
                <w:sz w:val="22"/>
                <w:szCs w:val="22"/>
                <w:shd w:val="clear" w:color="auto" w:fill="FFFFFF"/>
              </w:rPr>
              <w:t xml:space="preserve"> </w:t>
            </w:r>
            <w:r w:rsidRPr="00771272">
              <w:rPr>
                <w:rFonts w:ascii="Palatino Linotype" w:hAnsi="Palatino Linotype"/>
                <w:sz w:val="22"/>
                <w:szCs w:val="22"/>
                <w:lang w:eastAsia="en-IN"/>
              </w:rPr>
              <w:t xml:space="preserve">PFUTP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Regulations, 2003;</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Section 23E of SCRA for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violation of the provisions of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Section 21 of SCRA read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with Clause 36 (7)</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of Listing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Agreement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 </w:t>
            </w:r>
          </w:p>
          <w:p w:rsidR="00FE3FAE" w:rsidRPr="00771272" w:rsidRDefault="00FE3FAE" w:rsidP="00FE3FAE">
            <w:pPr>
              <w:shd w:val="clear" w:color="auto" w:fill="FFFFFF"/>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1,75,00,000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33</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25/03/2021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Supreme Tex Mart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Creative Vis</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ion Industries Pvt Ltd</w:t>
            </w:r>
          </w:p>
          <w:p w:rsidR="00FE3FAE" w:rsidRPr="00771272" w:rsidRDefault="00FE3FAE" w:rsidP="00FE3FAE">
            <w:pPr>
              <w:rPr>
                <w:rFonts w:ascii="Palatino Linotype" w:hAnsi="Palatino Linotype"/>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Section 11C(2) Section  11C(3)  of  the  SEBI  Act, 1992.   </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5,00,000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34</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25/03/2021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SEW Infrastructure</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Limited</w:t>
            </w:r>
          </w:p>
          <w:p w:rsidR="00FE3FAE" w:rsidRPr="00771272"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SEW Infrastructure</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Limited</w:t>
            </w:r>
          </w:p>
          <w:p w:rsidR="00FE3FAE" w:rsidRPr="00771272" w:rsidRDefault="00FE3FAE" w:rsidP="00FE3FAE">
            <w:pPr>
              <w:rPr>
                <w:rFonts w:ascii="Palatino Linotype" w:hAnsi="Palatino Linotype"/>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Regulation</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52(1) of SEBI (Listing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Obligations   and   Disclosure   Requirements)</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Regulations, 2015 (LODR Regulations). </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1,00,000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35</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25/03/2021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Sampada Chemicals</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Ltd</w:t>
            </w:r>
          </w:p>
          <w:p w:rsidR="00FE3FAE" w:rsidRPr="00771272"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 xml:space="preserve">Shyam Alcohol and Chemicals Ltd and Sampada Chemicals Ltd,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Section 11(C), (2) and</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(3) of SEBI Act, 1992. Regulation 7(1), 7(2), 7(1A) </w:t>
            </w:r>
          </w:p>
          <w:p w:rsidR="00FE3FAE" w:rsidRPr="00771272" w:rsidRDefault="00FE3FAE" w:rsidP="00FE3FAE">
            <w:pPr>
              <w:shd w:val="clear" w:color="auto" w:fill="FFFFFF"/>
              <w:rPr>
                <w:rFonts w:ascii="Palatino Linotype" w:hAnsi="Palatino Linotype"/>
                <w:sz w:val="22"/>
                <w:szCs w:val="22"/>
                <w:lang w:eastAsia="en-IN"/>
              </w:rPr>
            </w:pP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Section 16 of SCRA, 1956 read with SEBI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Notification G.S.R 219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(E) dated March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2, 2000, Section 13 and Section 18  of </w:t>
            </w:r>
            <w:r w:rsidRPr="00771272">
              <w:rPr>
                <w:rFonts w:ascii="Palatino Linotype" w:hAnsi="Palatino Linotype"/>
                <w:sz w:val="22"/>
                <w:szCs w:val="22"/>
                <w:lang w:eastAsia="en-IN"/>
              </w:rPr>
              <w:t>Securities Contracts (Regulation) Act,</w:t>
            </w:r>
            <w:r w:rsidRPr="00771272">
              <w:rPr>
                <w:rFonts w:ascii="Palatino Linotype" w:hAnsi="Palatino Linotype" w:cs="Arial"/>
                <w:sz w:val="22"/>
                <w:szCs w:val="22"/>
                <w:lang w:val="en-IN" w:eastAsia="en-IN" w:bidi="hi-IN"/>
              </w:rPr>
              <w:t>1956 (SCRA) read with</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Section 2(i) of SCRA, 1956</w:t>
            </w:r>
          </w:p>
          <w:p w:rsidR="00FE3FAE" w:rsidRPr="00771272" w:rsidRDefault="00FE3FAE" w:rsidP="00FE3FAE">
            <w:pPr>
              <w:rPr>
                <w:rFonts w:ascii="Palatino Linotype" w:hAnsi="Palatino Linotype" w:cs="Arial"/>
                <w:sz w:val="22"/>
                <w:szCs w:val="22"/>
                <w:lang w:val="en-IN" w:eastAsia="en-IN" w:bidi="hi-IN"/>
              </w:rPr>
            </w:pP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 7(1) r/w Regulation 7(2), Regulation 7(1A) r/w Regulation 11(1) of SAST Regulations, Regulation 13(3) read with Regulation 13(5)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of PIT Regulations,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34,00,000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36</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25/03/2021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Rahul Chokhany</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Rahul Chokhany</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rPr>
                <w:rFonts w:ascii="Palatino Linotype" w:hAnsi="Palatino Linotype"/>
                <w:sz w:val="22"/>
                <w:szCs w:val="22"/>
                <w:shd w:val="clear" w:color="auto" w:fill="FFFFFF"/>
              </w:rPr>
            </w:pPr>
            <w:r w:rsidRPr="00771272">
              <w:rPr>
                <w:rFonts w:ascii="Palatino Linotype" w:hAnsi="Palatino Linotype"/>
                <w:sz w:val="22"/>
                <w:szCs w:val="22"/>
              </w:rPr>
              <w:t xml:space="preserve">Clause 6.1.1(j) of Annexure to Enhanced Supervision Circular, </w:t>
            </w:r>
            <w:r w:rsidRPr="00771272">
              <w:rPr>
                <w:rFonts w:ascii="Palatino Linotype" w:hAnsi="Palatino Linotype"/>
                <w:sz w:val="22"/>
                <w:szCs w:val="22"/>
                <w:shd w:val="clear" w:color="auto" w:fill="FFFFFF"/>
              </w:rPr>
              <w:t xml:space="preserve"> SEBI/HO/MIRSD/</w:t>
            </w:r>
          </w:p>
          <w:p w:rsidR="00FE3FAE" w:rsidRPr="00771272" w:rsidRDefault="00FE3FAE" w:rsidP="00FE3FAE">
            <w:pPr>
              <w:rPr>
                <w:rFonts w:ascii="Palatino Linotype" w:hAnsi="Palatino Linotype" w:cs="Arial"/>
                <w:sz w:val="22"/>
                <w:szCs w:val="22"/>
              </w:rPr>
            </w:pPr>
            <w:r w:rsidRPr="00771272">
              <w:rPr>
                <w:rFonts w:ascii="Palatino Linotype" w:hAnsi="Palatino Linotype"/>
                <w:sz w:val="22"/>
                <w:szCs w:val="22"/>
                <w:shd w:val="clear" w:color="auto" w:fill="FFFFFF"/>
              </w:rPr>
              <w:t xml:space="preserve">DOP1/CIR/P/2018/54 </w:t>
            </w:r>
            <w:r w:rsidRPr="00771272">
              <w:rPr>
                <w:rFonts w:ascii="Palatino Linotype" w:hAnsi="Palatino Linotype" w:cs="Arial"/>
                <w:sz w:val="22"/>
                <w:szCs w:val="22"/>
                <w:lang w:val="en-IN" w:eastAsia="en-IN" w:bidi="hi-IN"/>
              </w:rPr>
              <w:t>dated March 22, 2018</w:t>
            </w:r>
            <w:r w:rsidRPr="00771272">
              <w:rPr>
                <w:rFonts w:ascii="Palatino Linotype" w:hAnsi="Palatino Linotype"/>
                <w:sz w:val="22"/>
                <w:szCs w:val="22"/>
                <w:shd w:val="clear" w:color="auto" w:fill="FFFFFF"/>
              </w:rPr>
              <w:t xml:space="preserve">,  </w:t>
            </w:r>
            <w:r w:rsidRPr="00771272">
              <w:rPr>
                <w:rFonts w:ascii="Palatino Linotype" w:hAnsi="Palatino Linotype" w:cs="Arial"/>
                <w:sz w:val="22"/>
                <w:szCs w:val="22"/>
              </w:rPr>
              <w:t xml:space="preserve">Clause 2(B) of SEBI Circular No. </w:t>
            </w:r>
          </w:p>
          <w:p w:rsidR="00FE3FAE" w:rsidRPr="00771272" w:rsidRDefault="00FE3FAE" w:rsidP="00FE3FAE">
            <w:pPr>
              <w:rPr>
                <w:rFonts w:ascii="Palatino Linotype" w:hAnsi="Palatino Linotype" w:cs="Arial"/>
                <w:sz w:val="22"/>
                <w:szCs w:val="22"/>
              </w:rPr>
            </w:pPr>
            <w:r w:rsidRPr="00771272">
              <w:rPr>
                <w:rFonts w:ascii="Palatino Linotype" w:hAnsi="Palatino Linotype" w:cs="Arial"/>
                <w:sz w:val="22"/>
                <w:szCs w:val="22"/>
              </w:rPr>
              <w:t>CIR/MIRSD/1</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rPr>
              <w:t xml:space="preserve">5/2011 dated August 02, 2011; </w:t>
            </w:r>
            <w:r w:rsidRPr="00771272">
              <w:rPr>
                <w:rFonts w:ascii="Palatino Linotype" w:hAnsi="Palatino Linotype"/>
                <w:sz w:val="22"/>
                <w:szCs w:val="22"/>
              </w:rPr>
              <w:t xml:space="preserve">Circular No. CIR/DNPD/7/2011 dated August 10, 2011; </w:t>
            </w:r>
            <w:r w:rsidRPr="00771272">
              <w:rPr>
                <w:rFonts w:ascii="Palatino Linotype" w:hAnsi="Palatino Linotype" w:cs="Arial"/>
                <w:sz w:val="22"/>
                <w:szCs w:val="22"/>
                <w:lang w:val="en-IN" w:eastAsia="en-IN" w:bidi="hi-IN"/>
              </w:rPr>
              <w:t>Clause 12 of Annexure to SEBI Circular no. SEBI/MIRSD/SE/Cir-</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19/2009 dated December 03, 2009 read with Clause 8.1 of Annexure to Enhanced Supervision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Circular</w:t>
            </w:r>
          </w:p>
          <w:p w:rsidR="00FE3FAE" w:rsidRPr="00771272" w:rsidRDefault="00FE3FAE" w:rsidP="00FE3FAE">
            <w:pPr>
              <w:rPr>
                <w:rFonts w:ascii="Palatino Linotype" w:hAnsi="Palatino Linotype" w:cs="Arial"/>
                <w:sz w:val="22"/>
                <w:szCs w:val="22"/>
              </w:rPr>
            </w:pPr>
          </w:p>
          <w:p w:rsidR="00FE3FAE" w:rsidRPr="00771272" w:rsidRDefault="00FE3FAE" w:rsidP="00FE3FAE">
            <w:pPr>
              <w:shd w:val="clear" w:color="FFFFFF" w:fill="FFFFFF"/>
              <w:rPr>
                <w:rFonts w:ascii="Palatino Linotype" w:hAnsi="Palatino Linotype"/>
                <w:sz w:val="22"/>
                <w:szCs w:val="22"/>
                <w:lang w:eastAsia="en-IN"/>
              </w:rPr>
            </w:pPr>
            <w:r w:rsidRPr="00771272">
              <w:rPr>
                <w:rFonts w:ascii="Palatino Linotype" w:hAnsi="Palatino Linotype"/>
                <w:sz w:val="22"/>
                <w:szCs w:val="22"/>
                <w:lang w:eastAsia="en-IN"/>
              </w:rPr>
              <w:t>Section</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23D of Securities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sz w:val="22"/>
                <w:szCs w:val="22"/>
                <w:lang w:eastAsia="en-IN"/>
              </w:rPr>
              <w:t xml:space="preserve">Contracts (Regulation) (SCRA) Act,1956 r/w </w:t>
            </w:r>
            <w:r w:rsidRPr="00771272">
              <w:rPr>
                <w:rFonts w:ascii="Palatino Linotype" w:hAnsi="Palatino Linotype"/>
                <w:sz w:val="22"/>
                <w:szCs w:val="22"/>
              </w:rPr>
              <w:t xml:space="preserve">with Clause 1 of </w:t>
            </w:r>
            <w:r w:rsidRPr="00771272">
              <w:rPr>
                <w:rFonts w:ascii="Palatino Linotype" w:hAnsi="Palatino Linotype" w:cs="Arial"/>
                <w:sz w:val="22"/>
                <w:szCs w:val="22"/>
                <w:lang w:val="en-IN" w:eastAsia="en-IN" w:bidi="hi-IN"/>
              </w:rPr>
              <w:t xml:space="preserve">Annexure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to Transaction</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Regulation Circular and Clause</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 xml:space="preserve">3 of Annexure to Enhanced </w:t>
            </w:r>
          </w:p>
          <w:p w:rsidR="00FE3FAE" w:rsidRPr="00771272" w:rsidRDefault="00FE3FAE" w:rsidP="00FE3FAE">
            <w:pPr>
              <w:rPr>
                <w:rFonts w:ascii="Palatino Linotype" w:hAnsi="Palatino Linotype" w:cs="Arial"/>
                <w:sz w:val="22"/>
                <w:szCs w:val="22"/>
                <w:lang w:val="en-IN" w:eastAsia="en-IN" w:bidi="hi-IN"/>
              </w:rPr>
            </w:pPr>
            <w:r w:rsidRPr="00771272">
              <w:rPr>
                <w:rFonts w:ascii="Palatino Linotype" w:hAnsi="Palatino Linotype" w:cs="Arial"/>
                <w:sz w:val="22"/>
                <w:szCs w:val="22"/>
                <w:lang w:val="en-IN" w:eastAsia="en-IN" w:bidi="hi-IN"/>
              </w:rPr>
              <w:t>Supervision Circular.</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9,00,000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37</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25/03/2021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Tara Jewels Limited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Rajeev Sheth, Aarti Sheth, Divya Sheth, Purnima Sheth, Divya Jewels International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rPr>
                <w:rFonts w:ascii="Palatino Linotype" w:hAnsi="Palatino Linotype" w:cs="Arial"/>
                <w:sz w:val="22"/>
                <w:szCs w:val="22"/>
                <w:lang w:val="en-IN"/>
              </w:rPr>
            </w:pPr>
            <w:r w:rsidRPr="00771272">
              <w:rPr>
                <w:rFonts w:ascii="Palatino Linotype" w:hAnsi="Palatino Linotype" w:cs="Arial"/>
                <w:sz w:val="22"/>
                <w:szCs w:val="22"/>
              </w:rPr>
              <w:t xml:space="preserve">Regulation </w:t>
            </w:r>
          </w:p>
          <w:p w:rsidR="00FE3FAE" w:rsidRPr="00771272" w:rsidRDefault="00FE3FAE" w:rsidP="00FE3FAE">
            <w:pPr>
              <w:rPr>
                <w:rFonts w:ascii="Palatino Linotype" w:hAnsi="Palatino Linotype" w:cs="Arial"/>
                <w:sz w:val="22"/>
                <w:szCs w:val="22"/>
              </w:rPr>
            </w:pPr>
            <w:r w:rsidRPr="00771272">
              <w:rPr>
                <w:rFonts w:ascii="Palatino Linotype" w:hAnsi="Palatino Linotype" w:cs="Arial"/>
                <w:sz w:val="22"/>
                <w:szCs w:val="22"/>
              </w:rPr>
              <w:t xml:space="preserve">7(2)(a) of PIT Regulation,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 Regulation 29(2), 29(3)of SAST Regulations,. </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2,00,000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38</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26/03/2021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Aqua Logistics</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Ltd</w:t>
            </w:r>
          </w:p>
          <w:p w:rsidR="00FE3FAE" w:rsidRPr="00771272"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Mukesh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Chauradiya</w:t>
            </w:r>
          </w:p>
          <w:p w:rsidR="00FE3FAE" w:rsidRPr="00771272" w:rsidRDefault="00FE3FAE" w:rsidP="00FE3FAE">
            <w:pPr>
              <w:rPr>
                <w:rFonts w:ascii="Palatino Linotype" w:hAnsi="Palatino Linotype"/>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Section 12A (a), (b), (c) of SEBI Act, 1992. </w:t>
            </w:r>
            <w:r w:rsidRPr="00771272">
              <w:rPr>
                <w:rFonts w:ascii="Palatino Linotype" w:hAnsi="Palatino Linotype"/>
                <w:sz w:val="22"/>
                <w:szCs w:val="22"/>
                <w:shd w:val="clear" w:color="auto" w:fill="FFFFFF"/>
              </w:rPr>
              <w:t xml:space="preserve">3(a), (b), (c), (d) and 4(1) of </w:t>
            </w:r>
            <w:r w:rsidRPr="00771272">
              <w:rPr>
                <w:rFonts w:ascii="Palatino Linotype" w:hAnsi="Palatino Linotype"/>
                <w:color w:val="202124"/>
                <w:sz w:val="22"/>
                <w:szCs w:val="22"/>
                <w:shd w:val="clear" w:color="auto" w:fill="FFFFFF"/>
              </w:rPr>
              <w:t xml:space="preserve">Prohibition of Fraudulent and Unfair Trade Practices </w:t>
            </w:r>
            <w:r w:rsidRPr="00771272">
              <w:rPr>
                <w:rFonts w:ascii="Palatino Linotype" w:hAnsi="Palatino Linotype"/>
                <w:sz w:val="22"/>
                <w:szCs w:val="22"/>
                <w:lang w:eastAsia="en-IN"/>
              </w:rPr>
              <w:t xml:space="preserve">(PFUTP)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Regulations, 2003. </w:t>
            </w:r>
          </w:p>
          <w:p w:rsidR="00FE3FAE" w:rsidRPr="00771272" w:rsidRDefault="00FE3FAE" w:rsidP="00FE3FAE">
            <w:pPr>
              <w:shd w:val="clear" w:color="auto" w:fill="FFFFFF"/>
              <w:rPr>
                <w:rFonts w:ascii="Palatino Linotype" w:hAnsi="Palatino Linotype"/>
                <w:sz w:val="22"/>
                <w:szCs w:val="22"/>
                <w:lang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20,00,000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39</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26/03/2021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Delayed submission/</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Non-submission of financial results for financial year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ended March 31, 2019</w:t>
            </w:r>
          </w:p>
          <w:p w:rsidR="00FE3FAE" w:rsidRPr="00771272"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Fantasy Buildwell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52(1), 52(4) and 52(5) of LODR Regulations. </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1,00,000</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40</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26/03/2021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Delayed submission/</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Non-submission of financial results for financial year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ended March 31, 2019</w:t>
            </w:r>
          </w:p>
          <w:p w:rsidR="00FE3FAE" w:rsidRPr="00771272"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shd w:val="clear" w:color="auto" w:fill="FFFFFF"/>
              </w:rPr>
              <w:t xml:space="preserve">Alliance Infrastructure Project Pvt. Ltd, Ashna Realtors Pvt.  Ltd, </w:t>
            </w:r>
            <w:r w:rsidRPr="00771272">
              <w:rPr>
                <w:rFonts w:ascii="Palatino Linotype" w:hAnsi="Palatino Linotype"/>
                <w:sz w:val="22"/>
                <w:szCs w:val="22"/>
                <w:lang w:eastAsia="en-IN"/>
              </w:rPr>
              <w:t>RMG Developers Pvt. Ltd, T</w:t>
            </w:r>
            <w:r w:rsidRPr="00771272">
              <w:rPr>
                <w:rFonts w:ascii="Palatino Linotype" w:hAnsi="Palatino Linotype"/>
                <w:sz w:val="22"/>
                <w:szCs w:val="22"/>
                <w:shd w:val="clear" w:color="auto" w:fill="FFFFFF"/>
              </w:rPr>
              <w:t>arendra Infrastructure Chennai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52(1), 52(4), 52(5) of SEBI LODR Regulations. </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4,00,000</w:t>
            </w:r>
          </w:p>
        </w:tc>
      </w:tr>
      <w:tr w:rsidR="00FE3FAE"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FE3FAE" w:rsidRDefault="00C21F0D" w:rsidP="00FE3FAE">
            <w:pPr>
              <w:jc w:val="both"/>
              <w:rPr>
                <w:color w:val="000000"/>
                <w:sz w:val="22"/>
                <w:szCs w:val="22"/>
                <w:lang w:val="en-IN" w:eastAsia="en-IN" w:bidi="hi-IN"/>
              </w:rPr>
            </w:pPr>
            <w:r>
              <w:rPr>
                <w:color w:val="000000"/>
                <w:sz w:val="22"/>
                <w:szCs w:val="22"/>
                <w:lang w:val="en-IN" w:eastAsia="en-IN" w:bidi="hi-IN"/>
              </w:rPr>
              <w:t>41</w:t>
            </w:r>
          </w:p>
        </w:tc>
        <w:tc>
          <w:tcPr>
            <w:tcW w:w="1418" w:type="dxa"/>
            <w:tcBorders>
              <w:top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rPr>
              <w:t>26/03/2021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B C Power Controls Ltd</w:t>
            </w:r>
          </w:p>
          <w:p w:rsidR="00FE3FAE" w:rsidRPr="00771272"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rPr>
                <w:rFonts w:ascii="Palatino Linotype" w:hAnsi="Palatino Linotype"/>
                <w:sz w:val="22"/>
                <w:szCs w:val="22"/>
              </w:rPr>
            </w:pPr>
            <w:r w:rsidRPr="00771272">
              <w:rPr>
                <w:rFonts w:ascii="Palatino Linotype" w:hAnsi="Palatino Linotype"/>
                <w:sz w:val="22"/>
                <w:szCs w:val="22"/>
                <w:shd w:val="clear" w:color="auto" w:fill="FFFFFF"/>
              </w:rPr>
              <w:t>Silvertoss Shoppers Pvt. Ltd, Kamlesh Shantilalji  Jain</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 29(1),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29(2) r/w 29 (3) of SEBI SAST </w:t>
            </w:r>
          </w:p>
          <w:p w:rsidR="00FE3FAE" w:rsidRPr="00771272" w:rsidRDefault="00FE3FAE" w:rsidP="00FE3FAE">
            <w:pPr>
              <w:shd w:val="clear" w:color="auto" w:fill="FFFFFF"/>
              <w:rPr>
                <w:rFonts w:ascii="Palatino Linotype" w:hAnsi="Palatino Linotype"/>
                <w:sz w:val="22"/>
                <w:szCs w:val="22"/>
                <w:lang w:eastAsia="en-IN"/>
              </w:rPr>
            </w:pPr>
            <w:r w:rsidRPr="00771272">
              <w:rPr>
                <w:rFonts w:ascii="Palatino Linotype" w:hAnsi="Palatino Linotype"/>
                <w:sz w:val="22"/>
                <w:szCs w:val="22"/>
                <w:lang w:eastAsia="en-IN"/>
              </w:rPr>
              <w:t xml:space="preserve">Regulations. </w:t>
            </w:r>
          </w:p>
          <w:p w:rsidR="00FE3FAE" w:rsidRPr="00771272" w:rsidRDefault="00FE3FAE" w:rsidP="00FE3FAE">
            <w:pPr>
              <w:rPr>
                <w:rFonts w:ascii="Palatino Linotype" w:hAnsi="Palatino Linotype"/>
                <w:sz w:val="22"/>
                <w:szCs w:val="22"/>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771272" w:rsidRDefault="00FE3FAE" w:rsidP="00FE3FAE">
            <w:pPr>
              <w:jc w:val="right"/>
              <w:rPr>
                <w:rFonts w:ascii="Palatino Linotype" w:hAnsi="Palatino Linotype"/>
                <w:sz w:val="22"/>
                <w:szCs w:val="22"/>
              </w:rPr>
            </w:pPr>
            <w:r w:rsidRPr="00771272">
              <w:rPr>
                <w:rFonts w:ascii="Palatino Linotype" w:hAnsi="Palatino Linotype"/>
                <w:sz w:val="22"/>
                <w:szCs w:val="22"/>
              </w:rPr>
              <w:t>4,00,000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42</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28/03/2021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Illiquid Stock Options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at BSE  </w:t>
            </w:r>
          </w:p>
          <w:p w:rsidR="00C21F0D" w:rsidRPr="003863EE" w:rsidRDefault="00C21F0D" w:rsidP="00C21F0D">
            <w:pPr>
              <w:rPr>
                <w:rFonts w:ascii="Palatino Linotype" w:eastAsia="Calibri" w:hAnsi="Palatino Linotype"/>
                <w:sz w:val="22"/>
                <w:szCs w:val="22"/>
                <w:lang w:val="en-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Stallion Investments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Regulations 3(a), (b), (c), (d), 4(1) and 4(2)(a) of </w:t>
            </w:r>
            <w:r w:rsidRPr="003863EE">
              <w:rPr>
                <w:rFonts w:ascii="Palatino Linotype" w:eastAsia="Calibri" w:hAnsi="Palatino Linotype"/>
                <w:sz w:val="22"/>
                <w:szCs w:val="22"/>
                <w:shd w:val="clear" w:color="auto" w:fill="FFFFFF"/>
                <w:lang w:val="en-IN"/>
              </w:rPr>
              <w:t xml:space="preserve">Prohibition of Fraudulent and Unfair Trading Practices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Regulations  </w:t>
            </w:r>
            <w:r w:rsidRPr="003863EE">
              <w:rPr>
                <w:rFonts w:ascii="Palatino Linotype" w:eastAsia="Calibri" w:hAnsi="Palatino Linotype"/>
                <w:sz w:val="22"/>
                <w:szCs w:val="22"/>
                <w:shd w:val="clear" w:color="auto" w:fill="FFFFFF"/>
                <w:lang w:val="en-IN"/>
              </w:rPr>
              <w:t>(</w:t>
            </w:r>
            <w:r w:rsidRPr="003863EE">
              <w:rPr>
                <w:rFonts w:ascii="Palatino Linotype" w:hAnsi="Palatino Linotype"/>
                <w:sz w:val="22"/>
                <w:szCs w:val="22"/>
                <w:lang w:val="en-IN" w:eastAsia="en-IN"/>
              </w:rPr>
              <w:t xml:space="preserve">PFUTP Regulations), 2003 </w:t>
            </w:r>
          </w:p>
          <w:p w:rsidR="00C21F0D" w:rsidRPr="003863EE" w:rsidRDefault="00C21F0D" w:rsidP="00C21F0D">
            <w:pPr>
              <w:rPr>
                <w:rFonts w:ascii="Palatino Linotype" w:eastAsia="Calibri" w:hAnsi="Palatino Linotype"/>
                <w:sz w:val="22"/>
                <w:szCs w:val="22"/>
                <w:lang w:val="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5,00,000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43</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28/03/2021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KLG Capital Services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Hemant Patel</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Unpublished price sensitive information (UPSI) - </w:t>
            </w:r>
            <w:r w:rsidRPr="003863EE">
              <w:rPr>
                <w:rFonts w:ascii="Palatino Linotype" w:eastAsia="Calibri" w:hAnsi="Palatino Linotype"/>
                <w:sz w:val="22"/>
                <w:szCs w:val="22"/>
                <w:shd w:val="clear" w:color="auto" w:fill="FFFFFF"/>
                <w:lang w:val="en-IN"/>
              </w:rPr>
              <w:t xml:space="preserve">Regulations 3(i), (ii) of Prohibition of Insider Trading Regulations (PIT Regulations), 1992.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7,63,908</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44</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Delayed submission/non</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submission of financial results for financial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year ended March 31, 2019</w:t>
            </w:r>
          </w:p>
          <w:p w:rsidR="00C21F0D" w:rsidRPr="003863EE" w:rsidRDefault="00C21F0D" w:rsidP="00C21F0D">
            <w:pPr>
              <w:rPr>
                <w:rFonts w:ascii="Palatino Linotype" w:eastAsia="Calibri" w:hAnsi="Palatino Linotype"/>
                <w:sz w:val="22"/>
                <w:szCs w:val="22"/>
                <w:shd w:val="clear" w:color="auto" w:fill="FFFFFF"/>
                <w:lang w:val="en-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Ozone Projects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Regulation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52(1), 52(4) and 52(5) of Listing Obligations and Disclosure Requirements Regulations (LODR Regulations), 2015.</w:t>
            </w:r>
          </w:p>
          <w:p w:rsidR="00C21F0D" w:rsidRPr="003863EE"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2,00,000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45</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ASE Capital Markets Ltd. </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ASE Capital Markets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SEBI Circulars - MIRSD/Cir-26/2011 dated December 23, 2011 </w:t>
            </w:r>
          </w:p>
          <w:p w:rsidR="00C21F0D" w:rsidRPr="003863EE" w:rsidRDefault="00C21F0D" w:rsidP="00C21F0D">
            <w:pPr>
              <w:jc w:val="both"/>
              <w:rPr>
                <w:rFonts w:ascii="Palatino Linotype" w:eastAsia="Calibri" w:hAnsi="Palatino Linotype"/>
                <w:sz w:val="22"/>
                <w:szCs w:val="22"/>
                <w:shd w:val="clear" w:color="auto" w:fill="FFFFFF"/>
                <w:lang w:val="en-IN"/>
              </w:rPr>
            </w:pP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Clause 7 &amp; 6.1.1(J) of Annexure of </w:t>
            </w: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SEBI Circular </w:t>
            </w: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SEBI/HO/MIRSD/MIRSD2/CIR/P/2016/95 dated September 26, 2016; </w:t>
            </w:r>
          </w:p>
          <w:p w:rsidR="00C21F0D" w:rsidRPr="003863EE" w:rsidRDefault="00C21F0D" w:rsidP="00C21F0D">
            <w:pPr>
              <w:jc w:val="both"/>
              <w:rPr>
                <w:rFonts w:ascii="Palatino Linotype" w:eastAsia="Calibri" w:hAnsi="Palatino Linotype"/>
                <w:sz w:val="22"/>
                <w:szCs w:val="22"/>
                <w:shd w:val="clear" w:color="auto" w:fill="FFFFFF"/>
                <w:lang w:val="en-IN"/>
              </w:rPr>
            </w:pP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Clause </w:t>
            </w: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2B of SEBI circular CIR/MIRSD/15/2011 dated August 02, 2011; </w:t>
            </w:r>
          </w:p>
          <w:p w:rsidR="00C21F0D" w:rsidRPr="003863EE" w:rsidRDefault="00C21F0D" w:rsidP="00C21F0D">
            <w:pPr>
              <w:jc w:val="both"/>
              <w:rPr>
                <w:rFonts w:ascii="Palatino Linotype" w:eastAsia="Calibri" w:hAnsi="Palatino Linotype"/>
                <w:sz w:val="22"/>
                <w:szCs w:val="22"/>
                <w:shd w:val="clear" w:color="auto" w:fill="FFFFFF"/>
                <w:lang w:val="en-IN"/>
              </w:rPr>
            </w:pP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Provisions of </w:t>
            </w: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clause 2.6 of annexure to SEBI circular </w:t>
            </w: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SEBI/HO/MIRSD/MIRSD2/Cir/P/2016/95 dated September 26,2016 read with Clause 2(d) of the SEBI's Circular no. CIR/HO/MIRSD/MIRSD2/CIR/P/2017/64 dated June 22 2017</w:t>
            </w:r>
          </w:p>
          <w:p w:rsidR="00C21F0D" w:rsidRPr="003863EE" w:rsidRDefault="00C21F0D" w:rsidP="00C21F0D">
            <w:pPr>
              <w:jc w:val="both"/>
              <w:rPr>
                <w:rFonts w:ascii="Palatino Linotype" w:eastAsia="Calibri" w:hAnsi="Palatino Linotype"/>
                <w:sz w:val="22"/>
                <w:szCs w:val="22"/>
                <w:shd w:val="clear" w:color="auto" w:fill="FFFFFF"/>
                <w:lang w:val="en-IN"/>
              </w:rPr>
            </w:pPr>
          </w:p>
          <w:p w:rsidR="00C21F0D" w:rsidRPr="003863EE" w:rsidRDefault="00C21F0D" w:rsidP="00C21F0D">
            <w:pPr>
              <w:jc w:val="both"/>
              <w:rPr>
                <w:rFonts w:ascii="Palatino Linotype" w:eastAsia="Calibri" w:hAnsi="Palatino Linotype"/>
                <w:sz w:val="22"/>
                <w:szCs w:val="22"/>
                <w:shd w:val="clear" w:color="auto" w:fill="FFFFFF"/>
                <w:lang w:val="en-IN"/>
              </w:rPr>
            </w:pP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SEBI Circular </w:t>
            </w: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MIRSD/SE/Cir</w:t>
            </w: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 xml:space="preserve">-19/2009 dated </w:t>
            </w:r>
          </w:p>
          <w:p w:rsidR="00C21F0D" w:rsidRPr="003863EE" w:rsidRDefault="00C21F0D" w:rsidP="00C21F0D">
            <w:pPr>
              <w:jc w:val="both"/>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December 03, 2009</w:t>
            </w:r>
          </w:p>
          <w:p w:rsidR="00C21F0D" w:rsidRPr="003863EE" w:rsidRDefault="00C21F0D" w:rsidP="00C21F0D">
            <w:pPr>
              <w:shd w:val="clear" w:color="auto" w:fill="FFFFFF"/>
              <w:jc w:val="both"/>
              <w:rPr>
                <w:rFonts w:ascii="Palatino Linotype" w:eastAsia="Calibri" w:hAnsi="Palatino Linotype"/>
                <w:sz w:val="22"/>
                <w:szCs w:val="22"/>
                <w:shd w:val="clear" w:color="auto" w:fill="FFFFFF"/>
                <w:lang w:val="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2,50,000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46</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Pyramid Saimira Theatre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 xml:space="preserve">Rajesh Shah, Nirmal Shah, Devang Shah, Ritaben Shah, Binaben Shah, Namitaben Shah, Sachin Shah and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Section 12A(a), 12A(b) and 1</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2A(c) of SEBI Act, 1992.</w:t>
            </w:r>
          </w:p>
          <w:p w:rsidR="00C21F0D" w:rsidRPr="003863EE" w:rsidRDefault="00C21F0D" w:rsidP="00C21F0D">
            <w:pPr>
              <w:shd w:val="clear" w:color="auto" w:fill="FFFFFF"/>
              <w:rPr>
                <w:rFonts w:ascii="Palatino Linotype" w:hAnsi="Palatino Linotype"/>
                <w:sz w:val="22"/>
                <w:szCs w:val="22"/>
                <w:lang w:val="en-IN" w:eastAsia="en-IN"/>
              </w:rPr>
            </w:pP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Regulation 3(a),3(b), 3(c), 3(d), 4(1), 4(2)(a), 4(2)(b)</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and 4(2)(e) of PFUTP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Regulations, 2003 </w:t>
            </w:r>
          </w:p>
          <w:p w:rsidR="00C21F0D" w:rsidRPr="003863EE" w:rsidRDefault="00C21F0D" w:rsidP="00C21F0D">
            <w:pPr>
              <w:shd w:val="clear" w:color="auto" w:fill="FFFFFF"/>
              <w:rPr>
                <w:rFonts w:ascii="Palatino Linotype" w:hAnsi="Palatino Linotype"/>
                <w:sz w:val="22"/>
                <w:szCs w:val="22"/>
                <w:lang w:val="en-IN" w:eastAsia="en-IN"/>
              </w:rPr>
            </w:pPr>
          </w:p>
          <w:p w:rsidR="00C21F0D" w:rsidRPr="003863EE" w:rsidRDefault="00C21F0D" w:rsidP="00C21F0D">
            <w:pPr>
              <w:shd w:val="clear" w:color="auto" w:fill="FFFFFF"/>
              <w:rPr>
                <w:rFonts w:ascii="Palatino Linotype" w:hAnsi="Palatino Linotype"/>
                <w:sz w:val="22"/>
                <w:szCs w:val="22"/>
                <w:lang w:val="en-IN" w:eastAsia="en-IN"/>
              </w:rPr>
            </w:pPr>
          </w:p>
          <w:p w:rsidR="00C21F0D" w:rsidRPr="003863EE"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10,00,000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47</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Kunvarji Finstock Pvt.</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Ltd.</w:t>
            </w:r>
          </w:p>
          <w:p w:rsidR="00C21F0D" w:rsidRPr="003863EE" w:rsidRDefault="00C21F0D" w:rsidP="00C21F0D">
            <w:pPr>
              <w:rPr>
                <w:rFonts w:ascii="Palatino Linotype" w:eastAsia="Calibri" w:hAnsi="Palatino Linotype"/>
                <w:sz w:val="22"/>
                <w:szCs w:val="22"/>
                <w:shd w:val="clear" w:color="auto" w:fill="FFFFFF"/>
                <w:lang w:val="en-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Kunvarji Finstock Pvt.</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Ltd.</w:t>
            </w:r>
          </w:p>
          <w:p w:rsidR="00C21F0D" w:rsidRPr="003863EE" w:rsidRDefault="00C21F0D" w:rsidP="00C21F0D">
            <w:pPr>
              <w:rPr>
                <w:rFonts w:ascii="Palatino Linotype" w:eastAsia="Calibri" w:hAnsi="Palatino Linotype"/>
                <w:sz w:val="22"/>
                <w:szCs w:val="22"/>
                <w:lang w:val="en-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autoSpaceDE w:val="0"/>
              <w:autoSpaceDN w:val="0"/>
              <w:adjustRightInd w:val="0"/>
              <w:jc w:val="both"/>
              <w:rPr>
                <w:rFonts w:ascii="Palatino Linotype" w:hAnsi="Palatino Linotype"/>
                <w:sz w:val="22"/>
                <w:szCs w:val="22"/>
                <w:lang w:val="en-IN" w:eastAsia="en-IN"/>
              </w:rPr>
            </w:pPr>
            <w:r w:rsidRPr="003863EE">
              <w:rPr>
                <w:rFonts w:ascii="Palatino Linotype" w:hAnsi="Palatino Linotype"/>
                <w:sz w:val="22"/>
                <w:szCs w:val="22"/>
                <w:lang w:val="en-IN" w:eastAsia="en-IN"/>
              </w:rPr>
              <w:t>Clause 12 of Annexure to SEBI Circular SEBI/MIRSD/SE/Cir-19/2009 dated 03.12.2009;</w:t>
            </w:r>
          </w:p>
          <w:p w:rsidR="00C21F0D" w:rsidRPr="003863EE" w:rsidRDefault="00C21F0D" w:rsidP="00C21F0D">
            <w:pPr>
              <w:autoSpaceDE w:val="0"/>
              <w:autoSpaceDN w:val="0"/>
              <w:adjustRightInd w:val="0"/>
              <w:jc w:val="both"/>
              <w:rPr>
                <w:rFonts w:ascii="Palatino Linotype" w:hAnsi="Palatino Linotype"/>
                <w:sz w:val="22"/>
                <w:szCs w:val="22"/>
                <w:lang w:val="en-IN" w:eastAsia="en-IN"/>
              </w:rPr>
            </w:pPr>
          </w:p>
          <w:p w:rsidR="00C21F0D" w:rsidRPr="003863EE" w:rsidRDefault="00C21F0D" w:rsidP="00C21F0D">
            <w:pPr>
              <w:autoSpaceDE w:val="0"/>
              <w:autoSpaceDN w:val="0"/>
              <w:adjustRightInd w:val="0"/>
              <w:jc w:val="both"/>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Clause 8.1. of Annexure to SEBI Circular SEBI/HO/MIRSD/MIRSS2/CIR/P/2016/95 dated 26.09.2016 </w:t>
            </w:r>
          </w:p>
          <w:p w:rsidR="00C21F0D" w:rsidRPr="003863EE" w:rsidRDefault="00C21F0D" w:rsidP="00C21F0D">
            <w:pPr>
              <w:shd w:val="clear" w:color="auto" w:fill="FFFFFF"/>
              <w:rPr>
                <w:rFonts w:ascii="Palatino Linotype" w:hAnsi="Palatino Linotype"/>
                <w:sz w:val="22"/>
                <w:szCs w:val="22"/>
                <w:lang w:val="en-IN" w:eastAsia="en-IN"/>
              </w:rPr>
            </w:pPr>
          </w:p>
          <w:p w:rsidR="00C21F0D" w:rsidRPr="003863EE"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1,00,000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48</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31/03/2021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Zensar Technologies</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Ltd.</w:t>
            </w:r>
          </w:p>
          <w:p w:rsidR="00C21F0D" w:rsidRPr="003863EE" w:rsidRDefault="00C21F0D" w:rsidP="00C21F0D">
            <w:pPr>
              <w:rPr>
                <w:rFonts w:ascii="Palatino Linotype" w:eastAsia="Calibri" w:hAnsi="Palatino Linotype"/>
                <w:sz w:val="22"/>
                <w:szCs w:val="22"/>
                <w:shd w:val="clear" w:color="auto" w:fill="FFFFFF"/>
                <w:lang w:val="en-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Swallow Associates LLP (earlier known as RPG Cellular Investments and Holdings Limited)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rPr>
                <w:rFonts w:ascii="Palatino Linotype" w:hAnsi="Palatino Linotype" w:cs="Arial"/>
                <w:sz w:val="22"/>
                <w:szCs w:val="22"/>
                <w:lang w:val="en-IN" w:eastAsia="en-IN" w:bidi="hi-IN"/>
              </w:rPr>
            </w:pPr>
            <w:r w:rsidRPr="003863EE">
              <w:rPr>
                <w:rFonts w:ascii="Palatino Linotype" w:hAnsi="Palatino Linotype" w:cs="Arial"/>
                <w:sz w:val="22"/>
                <w:szCs w:val="22"/>
                <w:lang w:val="en-IN" w:eastAsia="en-IN" w:bidi="hi-IN"/>
              </w:rPr>
              <w:t>Regulation 10 of the SAST Regulations, 1997;</w:t>
            </w:r>
          </w:p>
          <w:p w:rsidR="00C21F0D" w:rsidRPr="003863EE" w:rsidRDefault="00C21F0D" w:rsidP="00C21F0D">
            <w:pPr>
              <w:rPr>
                <w:rFonts w:ascii="Palatino Linotype" w:hAnsi="Palatino Linotype" w:cs="Arial"/>
                <w:sz w:val="22"/>
                <w:szCs w:val="22"/>
                <w:lang w:val="en-IN" w:eastAsia="en-IN" w:bidi="hi-IN"/>
              </w:rPr>
            </w:pPr>
            <w:r w:rsidRPr="003863EE">
              <w:rPr>
                <w:rFonts w:ascii="Palatino Linotype" w:hAnsi="Palatino Linotype" w:cs="Arial"/>
                <w:sz w:val="22"/>
                <w:szCs w:val="22"/>
                <w:lang w:val="en-IN" w:eastAsia="en-IN" w:bidi="hi-IN"/>
              </w:rPr>
              <w:t xml:space="preserve">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Regulation </w:t>
            </w:r>
            <w:r w:rsidRPr="003863EE">
              <w:rPr>
                <w:rFonts w:ascii="Palatino Linotype" w:eastAsia="Calibri" w:hAnsi="Palatino Linotype"/>
                <w:sz w:val="22"/>
                <w:szCs w:val="22"/>
                <w:shd w:val="clear" w:color="auto" w:fill="FFFFFF"/>
                <w:lang w:val="en-IN"/>
              </w:rPr>
              <w:t>7(1) and 7(1A) of SEBI (</w:t>
            </w:r>
            <w:r w:rsidRPr="003863EE">
              <w:rPr>
                <w:rFonts w:ascii="Palatino Linotype" w:hAnsi="Palatino Linotype"/>
                <w:sz w:val="22"/>
                <w:szCs w:val="22"/>
                <w:lang w:val="en-IN" w:eastAsia="en-IN"/>
              </w:rPr>
              <w:t xml:space="preserve"> </w:t>
            </w:r>
            <w:r w:rsidRPr="003863EE">
              <w:rPr>
                <w:rFonts w:ascii="Palatino Linotype" w:eastAsia="Calibri" w:hAnsi="Palatino Linotype"/>
                <w:sz w:val="22"/>
                <w:szCs w:val="22"/>
                <w:shd w:val="clear" w:color="auto" w:fill="FFFFFF"/>
                <w:lang w:val="en-IN"/>
              </w:rPr>
              <w:t xml:space="preserve">Substantial Acquisition of Shares and Takeovers)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Regulations </w:t>
            </w:r>
            <w:r w:rsidRPr="003863EE">
              <w:rPr>
                <w:rFonts w:ascii="Palatino Linotype" w:eastAsia="Calibri" w:hAnsi="Palatino Linotype"/>
                <w:sz w:val="22"/>
                <w:szCs w:val="22"/>
                <w:shd w:val="clear" w:color="auto" w:fill="FFFFFF"/>
                <w:lang w:val="en-IN"/>
              </w:rPr>
              <w:t>(</w:t>
            </w:r>
            <w:r w:rsidRPr="003863EE">
              <w:rPr>
                <w:rFonts w:ascii="Palatino Linotype" w:hAnsi="Palatino Linotype"/>
                <w:sz w:val="22"/>
                <w:szCs w:val="22"/>
                <w:lang w:val="en-IN" w:eastAsia="en-IN"/>
              </w:rPr>
              <w:t>SAST Regulations)1997;</w:t>
            </w:r>
          </w:p>
          <w:p w:rsidR="00C21F0D" w:rsidRPr="003863EE" w:rsidRDefault="00C21F0D" w:rsidP="00C21F0D">
            <w:pPr>
              <w:shd w:val="clear" w:color="auto" w:fill="FFFFFF"/>
              <w:rPr>
                <w:rFonts w:ascii="Palatino Linotype" w:hAnsi="Palatino Linotype"/>
                <w:sz w:val="22"/>
                <w:szCs w:val="22"/>
                <w:lang w:val="en-IN" w:eastAsia="en-IN"/>
              </w:rPr>
            </w:pP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Regulation 13(3) r/w 13(5) of PIT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Regulations, 1992.</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12,00,000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49</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31/03/2021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Partani Appliances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Girish Agarwal &amp; Sons (HUF) and six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Regulations 3(a), 3(b), 3(c), 3(d) and 4(1), 4(2) (a) &amp; 4(2) (e)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35,00,000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50</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31/03/2021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Voltaire Leasing and Finance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Looklike Trade Pvt</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Ltd</w:t>
            </w:r>
          </w:p>
          <w:p w:rsidR="00C21F0D" w:rsidRPr="003863EE" w:rsidRDefault="00C21F0D" w:rsidP="00C21F0D">
            <w:pPr>
              <w:rPr>
                <w:rFonts w:ascii="Palatino Linotype" w:eastAsia="Calibri" w:hAnsi="Palatino Linotype"/>
                <w:sz w:val="22"/>
                <w:szCs w:val="22"/>
                <w:lang w:val="en-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Sections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11C (2) and 11C (3) of SEBI Act, 1992. </w:t>
            </w:r>
          </w:p>
          <w:p w:rsidR="00C21F0D" w:rsidRPr="003863EE"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2,00,000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51</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31/03/2021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Supreme Tex Mart Ltd</w:t>
            </w:r>
          </w:p>
          <w:p w:rsidR="00C21F0D" w:rsidRPr="003863EE" w:rsidRDefault="00C21F0D" w:rsidP="00C21F0D">
            <w:pPr>
              <w:rPr>
                <w:rFonts w:ascii="Palatino Linotype" w:eastAsia="Calibri" w:hAnsi="Palatino Linotype"/>
                <w:sz w:val="22"/>
                <w:szCs w:val="22"/>
                <w:shd w:val="clear" w:color="auto" w:fill="FFFFFF"/>
                <w:lang w:val="en-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 xml:space="preserve">Vinit Enterprises proprietor Mr. Dharmendra Harilal Bhojak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Sections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11C (2) r/w 11C (3) of SEBI Act, 1992. </w:t>
            </w:r>
          </w:p>
          <w:p w:rsidR="00C21F0D" w:rsidRPr="003863EE"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5,00,000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52</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31/03/2021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Illiquid Stock Options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At BSE</w:t>
            </w:r>
          </w:p>
          <w:p w:rsidR="00C21F0D" w:rsidRPr="003863EE" w:rsidRDefault="00C21F0D" w:rsidP="00C21F0D">
            <w:pPr>
              <w:rPr>
                <w:rFonts w:ascii="Palatino Linotype" w:eastAsia="Calibri" w:hAnsi="Palatino Linotype"/>
                <w:sz w:val="22"/>
                <w:szCs w:val="22"/>
                <w:shd w:val="clear" w:color="auto" w:fill="FFFFFF"/>
                <w:lang w:val="en-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shd w:val="clear" w:color="auto" w:fill="FFFFFF"/>
                <w:lang w:val="en-IN"/>
              </w:rPr>
              <w:t>Uma Bansal</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Regulations 3(a), (b), (c), (d), 4(1) </w:t>
            </w:r>
          </w:p>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and 4(2)(a) of PFUTP Regulations, 2003.  </w:t>
            </w:r>
          </w:p>
          <w:p w:rsidR="00C21F0D" w:rsidRPr="003863EE"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5,00,000</w:t>
            </w:r>
          </w:p>
        </w:tc>
      </w:tr>
      <w:tr w:rsidR="00C21F0D" w:rsidRPr="00B83873"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Default="00C21F0D" w:rsidP="00C21F0D">
            <w:pPr>
              <w:jc w:val="both"/>
              <w:rPr>
                <w:color w:val="000000"/>
                <w:sz w:val="22"/>
                <w:szCs w:val="22"/>
                <w:lang w:val="en-IN" w:eastAsia="en-IN" w:bidi="hi-IN"/>
              </w:rPr>
            </w:pPr>
            <w:r>
              <w:rPr>
                <w:color w:val="000000"/>
                <w:sz w:val="22"/>
                <w:szCs w:val="22"/>
                <w:lang w:val="en-IN" w:eastAsia="en-IN" w:bidi="hi-IN"/>
              </w:rPr>
              <w:t>53</w:t>
            </w:r>
          </w:p>
        </w:tc>
        <w:tc>
          <w:tcPr>
            <w:tcW w:w="1418" w:type="dxa"/>
            <w:tcBorders>
              <w:top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lang w:val="en-IN"/>
              </w:rPr>
            </w:pPr>
            <w:r w:rsidRPr="003863EE">
              <w:rPr>
                <w:rFonts w:ascii="Palatino Linotype" w:eastAsia="Calibri" w:hAnsi="Palatino Linotype"/>
                <w:sz w:val="22"/>
                <w:szCs w:val="22"/>
                <w:lang w:val="en-IN"/>
              </w:rPr>
              <w:t>31/03/2021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Swastika Invest</w:t>
            </w:r>
            <w:r>
              <w:rPr>
                <w:rFonts w:ascii="Palatino Linotype" w:hAnsi="Palatino Linotype"/>
                <w:sz w:val="22"/>
                <w:szCs w:val="22"/>
                <w:lang w:val="en-IN" w:eastAsia="en-IN"/>
              </w:rPr>
              <w:t>-</w:t>
            </w:r>
            <w:r w:rsidRPr="003863EE">
              <w:rPr>
                <w:rFonts w:ascii="Palatino Linotype" w:hAnsi="Palatino Linotype"/>
                <w:sz w:val="22"/>
                <w:szCs w:val="22"/>
                <w:lang w:val="en-IN" w:eastAsia="en-IN"/>
              </w:rPr>
              <w:t>mart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rPr>
                <w:rFonts w:ascii="Palatino Linotype" w:eastAsia="Calibri" w:hAnsi="Palatino Linotype"/>
                <w:sz w:val="22"/>
                <w:szCs w:val="22"/>
                <w:shd w:val="clear" w:color="auto" w:fill="FFFFFF"/>
                <w:lang w:val="en-IN"/>
              </w:rPr>
            </w:pPr>
            <w:r w:rsidRPr="003863EE">
              <w:rPr>
                <w:rFonts w:ascii="Palatino Linotype" w:eastAsia="Calibri" w:hAnsi="Palatino Linotype"/>
                <w:sz w:val="22"/>
                <w:szCs w:val="22"/>
                <w:shd w:val="clear" w:color="auto" w:fill="FFFFFF"/>
                <w:lang w:val="en-IN"/>
              </w:rPr>
              <w:t>Adjudication</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shd w:val="clear" w:color="auto" w:fill="FFFFFF"/>
              <w:rPr>
                <w:rFonts w:ascii="Palatino Linotype" w:hAnsi="Palatino Linotype"/>
                <w:sz w:val="22"/>
                <w:szCs w:val="22"/>
                <w:lang w:val="en-IN" w:eastAsia="en-IN"/>
              </w:rPr>
            </w:pPr>
            <w:r w:rsidRPr="003863EE">
              <w:rPr>
                <w:rFonts w:ascii="Palatino Linotype" w:hAnsi="Palatino Linotype"/>
                <w:sz w:val="22"/>
                <w:szCs w:val="22"/>
                <w:lang w:val="en-IN" w:eastAsia="en-IN"/>
              </w:rPr>
              <w:t>Swastika Investmart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3863EE" w:rsidRDefault="00C21F0D" w:rsidP="00C21F0D">
            <w:pPr>
              <w:shd w:val="clear" w:color="auto" w:fill="FFFFFF"/>
              <w:jc w:val="both"/>
              <w:rPr>
                <w:rFonts w:ascii="Palatino Linotype" w:hAnsi="Palatino Linotype"/>
                <w:sz w:val="22"/>
                <w:szCs w:val="22"/>
                <w:lang w:val="en-IN" w:eastAsia="en-IN"/>
              </w:rPr>
            </w:pPr>
            <w:r w:rsidRPr="003863EE">
              <w:rPr>
                <w:rFonts w:ascii="Palatino Linotype" w:hAnsi="Palatino Linotype"/>
                <w:sz w:val="22"/>
                <w:szCs w:val="22"/>
                <w:lang w:val="en-IN" w:eastAsia="en-IN"/>
              </w:rPr>
              <w:t>Clause A (5) of</w:t>
            </w:r>
          </w:p>
          <w:p w:rsidR="00C21F0D" w:rsidRPr="003863EE" w:rsidRDefault="00C21F0D" w:rsidP="00C21F0D">
            <w:pPr>
              <w:shd w:val="clear" w:color="auto" w:fill="FFFFFF"/>
              <w:jc w:val="both"/>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Schedule II of Regulation 7 of </w:t>
            </w:r>
          </w:p>
          <w:p w:rsidR="00C21F0D" w:rsidRPr="003863EE" w:rsidRDefault="00C21F0D" w:rsidP="00C21F0D">
            <w:pPr>
              <w:shd w:val="clear" w:color="auto" w:fill="FFFFFF"/>
              <w:jc w:val="both"/>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SEBI (Stock Brokers) Regulations, 1992 r/w </w:t>
            </w:r>
          </w:p>
          <w:p w:rsidR="00C21F0D" w:rsidRPr="003863EE" w:rsidRDefault="00C21F0D" w:rsidP="00C21F0D">
            <w:pPr>
              <w:shd w:val="clear" w:color="auto" w:fill="FFFFFF"/>
              <w:jc w:val="both"/>
              <w:rPr>
                <w:rFonts w:ascii="Palatino Linotype" w:hAnsi="Palatino Linotype"/>
                <w:sz w:val="22"/>
                <w:szCs w:val="22"/>
                <w:lang w:val="en-IN" w:eastAsia="en-IN"/>
              </w:rPr>
            </w:pPr>
            <w:r w:rsidRPr="003863EE">
              <w:rPr>
                <w:rFonts w:ascii="Palatino Linotype" w:hAnsi="Palatino Linotype"/>
                <w:sz w:val="22"/>
                <w:szCs w:val="22"/>
                <w:lang w:val="en-IN" w:eastAsia="en-IN"/>
              </w:rPr>
              <w:t xml:space="preserve">NSE/MEM/1591 dated April 20, 2000, </w:t>
            </w:r>
            <w:r w:rsidRPr="003863EE">
              <w:rPr>
                <w:rFonts w:ascii="Palatino Linotype" w:eastAsia="Calibri" w:hAnsi="Palatino Linotype"/>
                <w:sz w:val="22"/>
                <w:szCs w:val="22"/>
                <w:lang w:val="en-IN"/>
              </w:rPr>
              <w:t xml:space="preserve">NSE/MEM/7400 dated April 20, 2006, </w:t>
            </w:r>
            <w:r w:rsidRPr="003863EE">
              <w:rPr>
                <w:rFonts w:ascii="Palatino Linotype" w:hAnsi="Palatino Linotype"/>
                <w:sz w:val="22"/>
                <w:szCs w:val="22"/>
                <w:lang w:val="en-IN" w:eastAsia="en-IN"/>
              </w:rPr>
              <w:t xml:space="preserve"> </w:t>
            </w:r>
          </w:p>
          <w:p w:rsidR="00C21F0D" w:rsidRPr="003863EE" w:rsidRDefault="00C21F0D" w:rsidP="00C21F0D">
            <w:pPr>
              <w:jc w:val="both"/>
              <w:rPr>
                <w:rFonts w:ascii="Palatino Linotype" w:hAnsi="Palatino Linotype"/>
                <w:sz w:val="22"/>
                <w:szCs w:val="22"/>
                <w:lang w:val="en-IN" w:eastAsia="en-IN" w:bidi="hi-IN"/>
              </w:rPr>
            </w:pPr>
            <w:r w:rsidRPr="003863EE">
              <w:rPr>
                <w:rFonts w:ascii="Palatino Linotype" w:eastAsia="Calibri" w:hAnsi="Palatino Linotype"/>
                <w:sz w:val="22"/>
                <w:szCs w:val="22"/>
                <w:shd w:val="clear" w:color="auto" w:fill="FFFFFF"/>
                <w:lang w:val="en-IN"/>
              </w:rPr>
              <w:t>NSE/MA/22732 dated February 13, 2013, C</w:t>
            </w:r>
            <w:r w:rsidRPr="003863EE">
              <w:rPr>
                <w:rFonts w:ascii="Palatino Linotype" w:hAnsi="Palatino Linotype"/>
                <w:sz w:val="22"/>
                <w:szCs w:val="22"/>
                <w:lang w:val="en-IN" w:eastAsia="en-IN" w:bidi="hi-IN"/>
              </w:rPr>
              <w:t>TCL-</w:t>
            </w:r>
          </w:p>
          <w:p w:rsidR="00C21F0D" w:rsidRPr="003863EE" w:rsidRDefault="00C21F0D" w:rsidP="00C21F0D">
            <w:pPr>
              <w:jc w:val="both"/>
              <w:rPr>
                <w:rFonts w:ascii="Palatino Linotype" w:hAnsi="Palatino Linotype"/>
                <w:sz w:val="22"/>
                <w:szCs w:val="22"/>
                <w:lang w:val="en-IN" w:eastAsia="en-IN" w:bidi="hi-IN"/>
              </w:rPr>
            </w:pPr>
            <w:r w:rsidRPr="003863EE">
              <w:rPr>
                <w:rFonts w:ascii="Palatino Linotype" w:hAnsi="Palatino Linotype"/>
                <w:sz w:val="22"/>
                <w:szCs w:val="22"/>
                <w:lang w:val="en-IN" w:eastAsia="en-IN" w:bidi="hi-IN"/>
              </w:rPr>
              <w:t>Exchange's circular no. NSE/MEMB/3574 dated August 29, 2002, NSE/MEMB/3635 dated September 25, 2002, and Exchange circular NSE/INSP/28434 dated December 24, 2014</w:t>
            </w:r>
          </w:p>
          <w:p w:rsidR="00C21F0D" w:rsidRPr="003863EE" w:rsidRDefault="00C21F0D" w:rsidP="00C21F0D">
            <w:pPr>
              <w:shd w:val="clear" w:color="auto" w:fill="FFFFFF"/>
              <w:jc w:val="both"/>
              <w:rPr>
                <w:rFonts w:ascii="Palatino Linotype" w:eastAsia="Calibri" w:hAnsi="Palatino Linotype"/>
                <w:sz w:val="22"/>
                <w:szCs w:val="22"/>
                <w:shd w:val="clear" w:color="auto" w:fill="FFFFFF"/>
                <w:lang w:val="en-IN"/>
              </w:rPr>
            </w:pPr>
          </w:p>
          <w:p w:rsidR="00C21F0D" w:rsidRPr="003863EE" w:rsidRDefault="00C21F0D" w:rsidP="00C21F0D">
            <w:pPr>
              <w:shd w:val="clear" w:color="auto" w:fill="FFFFFF"/>
              <w:jc w:val="both"/>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3863EE" w:rsidRDefault="00C21F0D" w:rsidP="00C21F0D">
            <w:pPr>
              <w:jc w:val="right"/>
              <w:rPr>
                <w:rFonts w:ascii="Palatino Linotype" w:eastAsia="Calibri" w:hAnsi="Palatino Linotype"/>
                <w:sz w:val="22"/>
                <w:szCs w:val="22"/>
                <w:lang w:val="en-IN"/>
              </w:rPr>
            </w:pPr>
            <w:r w:rsidRPr="003863EE">
              <w:rPr>
                <w:rFonts w:ascii="Palatino Linotype" w:eastAsia="Calibri" w:hAnsi="Palatino Linotype"/>
                <w:sz w:val="22"/>
                <w:szCs w:val="22"/>
                <w:lang w:val="en-IN"/>
              </w:rPr>
              <w:t>10,00,000</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Pr="00DF79C0" w:rsidRDefault="00DF79C0" w:rsidP="008136E3">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54</w:t>
            </w:r>
          </w:p>
        </w:tc>
        <w:tc>
          <w:tcPr>
            <w:tcW w:w="1418" w:type="dxa"/>
            <w:tcBorders>
              <w:top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03/03/2021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 xml:space="preserve">Sahara </w:t>
            </w:r>
          </w:p>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India Financial Corporation Ltd</w:t>
            </w:r>
          </w:p>
          <w:p w:rsidR="008136E3" w:rsidRPr="00DF79C0" w:rsidRDefault="008136E3" w:rsidP="008136E3">
            <w:pPr>
              <w:jc w:val="center"/>
              <w:rPr>
                <w:rFonts w:ascii="Palatino Linotype" w:eastAsia="Calibri" w:hAnsi="Palatino Linotype"/>
                <w:b/>
                <w:bCs/>
                <w:lang w:bidi="hi-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b/>
                <w:bCs/>
                <w:lang w:bidi="hi-IN"/>
              </w:rPr>
            </w:pPr>
            <w:r w:rsidRPr="00DF79C0">
              <w:rPr>
                <w:rFonts w:ascii="Palatino Linotype" w:eastAsia="Calibri" w:hAnsi="Palatino Linotype"/>
                <w:shd w:val="clear" w:color="auto" w:fill="FFFFFF"/>
                <w:lang w:bidi="hi-IN"/>
              </w:rPr>
              <w:t>Section 19, read with Section 12(3) of SEBI Act</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 xml:space="preserve">Sahara </w:t>
            </w:r>
          </w:p>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India Financial Corporation Ltd</w:t>
            </w:r>
          </w:p>
          <w:p w:rsidR="008136E3" w:rsidRPr="00DF79C0" w:rsidRDefault="008136E3" w:rsidP="008136E3">
            <w:pPr>
              <w:jc w:val="center"/>
              <w:rPr>
                <w:rFonts w:ascii="Palatino Linotype" w:eastAsia="Calibri" w:hAnsi="Palatino Linotype"/>
                <w:b/>
                <w:bCs/>
                <w:lang w:bidi="hi-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 xml:space="preserve">Regulation 7(2)(e) read with Schedule II of </w:t>
            </w:r>
          </w:p>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the SEBI (Intermediaries Regulations), 2008</w:t>
            </w:r>
          </w:p>
          <w:p w:rsidR="008136E3" w:rsidRPr="00DF79C0" w:rsidRDefault="008136E3" w:rsidP="008136E3">
            <w:pPr>
              <w:shd w:val="clear" w:color="auto" w:fill="FFFFFF"/>
              <w:rPr>
                <w:rFonts w:ascii="Palatino Linotype" w:hAnsi="Palatino Linotype"/>
                <w:lang w:bidi="hi-IN"/>
              </w:rPr>
            </w:pPr>
          </w:p>
          <w:p w:rsidR="008136E3" w:rsidRPr="00DF79C0" w:rsidRDefault="008136E3" w:rsidP="008136E3">
            <w:pPr>
              <w:shd w:val="clear" w:color="auto" w:fill="FFFFFF"/>
              <w:rPr>
                <w:rFonts w:ascii="Palatino Linotype" w:hAnsi="Palatino Linotype"/>
                <w:lang w:bidi="hi-IN"/>
              </w:rPr>
            </w:pPr>
          </w:p>
          <w:p w:rsidR="008136E3" w:rsidRPr="00DF79C0" w:rsidRDefault="008136E3" w:rsidP="008136E3">
            <w:pPr>
              <w:shd w:val="clear" w:color="auto" w:fill="FFFFFF"/>
              <w:rPr>
                <w:rFonts w:ascii="Palatino Linotype" w:eastAsia="Calibri" w:hAnsi="Palatino Linotype"/>
                <w:b/>
                <w:bCs/>
                <w:lang w:bidi="hi-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jc w:val="right"/>
              <w:rPr>
                <w:rFonts w:ascii="Palatino Linotype" w:eastAsia="Calibri" w:hAnsi="Palatino Linotype"/>
                <w:lang w:bidi="hi-IN"/>
              </w:rPr>
            </w:pPr>
            <w:r w:rsidRPr="00DF79C0">
              <w:rPr>
                <w:rFonts w:ascii="Palatino Linotype" w:eastAsia="Calibri" w:hAnsi="Palatino Linotype"/>
                <w:lang w:bidi="hi-IN"/>
              </w:rPr>
              <w:t>-</w:t>
            </w:r>
          </w:p>
        </w:tc>
      </w:tr>
      <w:tr w:rsidR="008136E3" w:rsidRPr="00B83873"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Pr="00DF79C0" w:rsidRDefault="00DF79C0" w:rsidP="008136E3">
            <w:pPr>
              <w:jc w:val="both"/>
              <w:rPr>
                <w:rFonts w:ascii="Palatino Linotype" w:hAnsi="Palatino Linotype"/>
                <w:color w:val="000000"/>
                <w:sz w:val="22"/>
                <w:szCs w:val="22"/>
                <w:lang w:val="en-IN" w:eastAsia="en-IN" w:bidi="hi-IN"/>
              </w:rPr>
            </w:pPr>
            <w:r>
              <w:rPr>
                <w:rFonts w:ascii="Palatino Linotype" w:hAnsi="Palatino Linotype"/>
                <w:color w:val="000000"/>
                <w:sz w:val="22"/>
                <w:szCs w:val="22"/>
                <w:lang w:val="en-IN" w:eastAsia="en-IN" w:bidi="hi-IN"/>
              </w:rPr>
              <w:t>55</w:t>
            </w:r>
          </w:p>
        </w:tc>
        <w:tc>
          <w:tcPr>
            <w:tcW w:w="1418" w:type="dxa"/>
            <w:tcBorders>
              <w:top w:val="single" w:sz="4" w:space="0" w:color="auto"/>
              <w:bottom w:val="single" w:sz="4" w:space="0" w:color="auto"/>
              <w:right w:val="single" w:sz="4" w:space="0" w:color="auto"/>
            </w:tcBorders>
            <w:shd w:val="clear" w:color="auto" w:fill="auto"/>
            <w:noWrap/>
          </w:tcPr>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03/03/2021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 xml:space="preserve">Channel Nine Entertainment </w:t>
            </w:r>
          </w:p>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Limited</w:t>
            </w:r>
          </w:p>
          <w:p w:rsidR="008136E3" w:rsidRPr="00DF79C0" w:rsidRDefault="008136E3" w:rsidP="008136E3">
            <w:pPr>
              <w:shd w:val="clear" w:color="auto" w:fill="FFFFFF"/>
              <w:rPr>
                <w:rFonts w:ascii="Palatino Linotype" w:hAnsi="Palatino Linotype"/>
                <w:lang w:bidi="hi-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shd w:val="clear" w:color="auto" w:fill="FFFFFF"/>
              <w:rPr>
                <w:rFonts w:ascii="Palatino Linotype" w:hAnsi="Palatino Linotype"/>
                <w:lang w:bidi="hi-IN"/>
              </w:rPr>
            </w:pPr>
            <w:r w:rsidRPr="00DF79C0">
              <w:rPr>
                <w:rFonts w:ascii="Palatino Linotype" w:hAnsi="Palatino Linotype"/>
                <w:lang w:bidi="hi-IN"/>
              </w:rPr>
              <w:t>Channel Nine Entertainment Limited, Gaj Raj Singh, Kirti, Neena Sood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DF79C0" w:rsidRDefault="008136E3" w:rsidP="008136E3">
            <w:pPr>
              <w:rPr>
                <w:rFonts w:ascii="Palatino Linotype" w:hAnsi="Palatino Linotype"/>
                <w:lang w:bidi="hi-IN"/>
              </w:rPr>
            </w:pPr>
            <w:r w:rsidRPr="00DF79C0">
              <w:rPr>
                <w:rFonts w:ascii="Palatino Linotype" w:hAnsi="Palatino Linotype"/>
                <w:lang w:bidi="hi-IN"/>
              </w:rPr>
              <w:t xml:space="preserve">Section 56(1) &amp; (3) and 60, 73(1), (2) &amp; (3) read with Section 67(1),(2)&amp;(3) of the Companies Act, 1956 and </w:t>
            </w:r>
          </w:p>
          <w:p w:rsidR="008136E3" w:rsidRPr="00DF79C0" w:rsidRDefault="008136E3" w:rsidP="008136E3">
            <w:pPr>
              <w:rPr>
                <w:rFonts w:ascii="Palatino Linotype" w:hAnsi="Palatino Linotype"/>
                <w:lang w:bidi="hi-IN"/>
              </w:rPr>
            </w:pPr>
          </w:p>
          <w:p w:rsidR="008136E3" w:rsidRPr="00DF79C0" w:rsidRDefault="008136E3" w:rsidP="008136E3">
            <w:pPr>
              <w:rPr>
                <w:rFonts w:ascii="Palatino Linotype" w:hAnsi="Palatino Linotype"/>
                <w:lang w:bidi="hi-IN"/>
              </w:rPr>
            </w:pPr>
            <w:r w:rsidRPr="00DF79C0">
              <w:rPr>
                <w:rFonts w:ascii="Palatino Linotype" w:hAnsi="Palatino Linotype"/>
                <w:lang w:bidi="hi-IN"/>
              </w:rPr>
              <w:t>Regulations 4(2)(d), 4(2)(e), 5, 6, 7, 25, 26, 36, 37, 46, 47, 57 and 59 of the SEBI (Issue of Capital and Disclosure Requirements) Regulations, 2009.</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shd w:val="clear" w:color="auto" w:fill="FFFFFF"/>
              <w:jc w:val="right"/>
              <w:rPr>
                <w:rFonts w:ascii="Palatino Linotype" w:hAnsi="Palatino Linotype"/>
                <w:lang w:bidi="hi-IN"/>
              </w:rPr>
            </w:pPr>
            <w:r w:rsidRPr="00DF79C0">
              <w:rPr>
                <w:rFonts w:ascii="Palatino Linotype" w:hAnsi="Palatino Linotype"/>
                <w:lang w:bidi="hi-IN"/>
              </w:rPr>
              <w:t>-</w:t>
            </w:r>
          </w:p>
        </w:tc>
      </w:tr>
      <w:tr w:rsidR="008136E3" w:rsidRPr="00A538EB"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Pr="00DF79C0" w:rsidRDefault="00DF79C0" w:rsidP="008136E3">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56</w:t>
            </w:r>
          </w:p>
        </w:tc>
        <w:tc>
          <w:tcPr>
            <w:tcW w:w="1418" w:type="dxa"/>
            <w:tcBorders>
              <w:top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09/03/2021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KCGP Share Broking Services Pvt.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KCGP Share Broking Services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 xml:space="preserve">21(1), 21(2) and 21(4) of SEBI (Stock Brokers &amp; Sub-brokers) Regulations, 1992. </w:t>
            </w:r>
          </w:p>
          <w:p w:rsidR="008136E3" w:rsidRPr="00DF79C0" w:rsidRDefault="008136E3" w:rsidP="008136E3">
            <w:pPr>
              <w:rPr>
                <w:rFonts w:ascii="Palatino Linotype" w:eastAsia="Calibri" w:hAnsi="Palatino Linotype"/>
                <w:lang w:bidi="hi-IN"/>
              </w:rPr>
            </w:pPr>
          </w:p>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8(2) of SEBI (Intermediaries) Regulations, 2008</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jc w:val="right"/>
              <w:rPr>
                <w:rFonts w:ascii="Palatino Linotype" w:eastAsia="Calibri" w:hAnsi="Palatino Linotype"/>
                <w:lang w:bidi="hi-IN"/>
              </w:rPr>
            </w:pPr>
            <w:r w:rsidRPr="00DF79C0">
              <w:rPr>
                <w:rFonts w:ascii="Palatino Linotype" w:eastAsia="Calibri" w:hAnsi="Palatino Linotype"/>
                <w:lang w:bidi="hi-IN"/>
              </w:rPr>
              <w:t>-</w:t>
            </w:r>
          </w:p>
        </w:tc>
      </w:tr>
      <w:tr w:rsidR="008136E3" w:rsidRPr="00A538EB" w:rsidTr="008136E3">
        <w:trPr>
          <w:trHeight w:val="300"/>
        </w:trPr>
        <w:tc>
          <w:tcPr>
            <w:tcW w:w="567" w:type="dxa"/>
            <w:tcBorders>
              <w:top w:val="single" w:sz="4" w:space="0" w:color="auto"/>
              <w:left w:val="single" w:sz="4" w:space="0" w:color="auto"/>
              <w:bottom w:val="single" w:sz="4" w:space="0" w:color="auto"/>
              <w:right w:val="single" w:sz="4" w:space="0" w:color="auto"/>
            </w:tcBorders>
          </w:tcPr>
          <w:p w:rsidR="008136E3" w:rsidRPr="00DF79C0" w:rsidRDefault="00DF79C0" w:rsidP="008136E3">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57</w:t>
            </w:r>
          </w:p>
        </w:tc>
        <w:tc>
          <w:tcPr>
            <w:tcW w:w="1418" w:type="dxa"/>
            <w:tcBorders>
              <w:top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09/03/2021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Purva Shareregistry (India) Pvt.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Purva Shareregistry (India)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 xml:space="preserve">Registrars to an Issue and Share Transfer Agents (RTA) Regulations, 1993, Listing Obligations and Disclosure Requirements (LODR) Regulations, 2015, 28(2) of   SEBI (Intermediaries) Regulations, 2008.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jc w:val="right"/>
              <w:rPr>
                <w:rFonts w:ascii="Palatino Linotype" w:eastAsia="Calibri" w:hAnsi="Palatino Linotype"/>
                <w:lang w:bidi="hi-IN"/>
              </w:rPr>
            </w:pPr>
            <w:r w:rsidRPr="00DF79C0">
              <w:rPr>
                <w:rFonts w:ascii="Palatino Linotype" w:eastAsia="Calibri" w:hAnsi="Palatino Linotype"/>
                <w:lang w:bidi="hi-IN"/>
              </w:rPr>
              <w:t>-</w:t>
            </w:r>
          </w:p>
        </w:tc>
      </w:tr>
      <w:tr w:rsidR="008136E3"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8136E3" w:rsidRPr="00DF79C0" w:rsidRDefault="00DF79C0" w:rsidP="008136E3">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58</w:t>
            </w:r>
          </w:p>
        </w:tc>
        <w:tc>
          <w:tcPr>
            <w:tcW w:w="1418" w:type="dxa"/>
            <w:tcBorders>
              <w:top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09/03/2021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Alliance Intermediaries and Network Pvt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Alliance Intermediaries and Network Pvt Ltd</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5(e), 5A, 27(5) of Intermediaries    Regulations, 2008</w:t>
            </w:r>
          </w:p>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Circular No.SMD-1/23341,</w:t>
            </w:r>
          </w:p>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 xml:space="preserve"> SEBI/MRD/SE/Cir-33/2003/27/08,</w:t>
            </w:r>
          </w:p>
          <w:p w:rsidR="008136E3" w:rsidRPr="00DF79C0" w:rsidRDefault="008136E3" w:rsidP="008136E3">
            <w:pPr>
              <w:rPr>
                <w:rFonts w:ascii="Palatino Linotype" w:eastAsia="Calibri" w:hAnsi="Palatino Linotype"/>
                <w:lang w:bidi="hi-IN"/>
              </w:rPr>
            </w:pPr>
            <w:r w:rsidRPr="00DF79C0">
              <w:rPr>
                <w:rFonts w:ascii="Palatino Linotype" w:eastAsia="Calibri" w:hAnsi="Palatino Linotype"/>
                <w:lang w:bidi="hi-IN"/>
              </w:rPr>
              <w:t xml:space="preserve">Clauses A (1), A (2), A (3) and A (5), 7, Stock Brokers Regulations, 1992.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8136E3" w:rsidRPr="00DF79C0" w:rsidRDefault="008136E3" w:rsidP="008136E3">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59</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16/03/2021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ICL Multitrading India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Corporate Capital Ventures Pvt. Ltd</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Clauses 1, 3, 4, 6 &amp; of the code of conduct under Schedule III to Regulation 13 of  the  SEBI (Merchant  Bankers) Regulations,  1992</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60</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16/03/2021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Arvind Goyal, Abhay Javlekar, Yatin Prakash, Manish Rathi, Dharmendra Bhajak, Ramesh Daga and others.</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Arvind Goyal, Abhay Javlekar, Yatin Prakash, Manish Rathi, Dharmendra Bhajak, Ramesh Daga and others.</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Sections 12A(a), (b) &amp; (c) of the SEBI Act, 1992. </w:t>
            </w:r>
          </w:p>
          <w:p w:rsidR="00FE3FAE" w:rsidRPr="00DF79C0" w:rsidRDefault="00FE3FAE" w:rsidP="00FE3FAE">
            <w:pPr>
              <w:rPr>
                <w:rFonts w:ascii="Palatino Linotype" w:eastAsia="Calibri" w:hAnsi="Palatino Linotype"/>
                <w:lang w:bidi="hi-IN"/>
              </w:rPr>
            </w:pPr>
          </w:p>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Regulations 3(a), (c) &amp; (d), 4(1) and 4(2)(h)of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61</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17/03/2021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Ashika Capital Ltd  </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Sudar Industries Ltd</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 60(7) and 64 (1) of SEBI (Issue of Capital and Disclosure Requirements) Regulations, 2009.</w:t>
            </w:r>
          </w:p>
          <w:p w:rsidR="00FE3FAE" w:rsidRPr="00DF79C0" w:rsidRDefault="00FE3FAE" w:rsidP="00FE3FAE">
            <w:pPr>
              <w:rPr>
                <w:rFonts w:ascii="Palatino Linotype" w:eastAsia="Calibri" w:hAnsi="Palatino Linotype"/>
                <w:lang w:bidi="hi-IN"/>
              </w:rPr>
            </w:pPr>
          </w:p>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Regulation 13, Clauses 1, 2, 3, 4, 6, 7 and 21 of Schedule III, SEBI (Merchant Bankers) Regulations, 1992. </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62</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18/03/2021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Profit Money Advisor</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Profit Money Advisor and its Proprietor Prateek Singh. </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Sections 12A (a), (b) and (c) of the SEBI Act, 1992. </w:t>
            </w:r>
          </w:p>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Regulations 3 (a), (b), (c) and (d) and Regulations 4(1) and 4(2)(k) 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63</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Indiabulls Integrated Services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Exemption Order</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Yaarii Digital Integrated Services Ltd (‘Acquirer’)</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 3(1), 4 and 5(1) of SEBI (Substantial  Acquisition  of  Shares  &amp;  Takeovers) Regulations, 2011</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64</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Greenply Industries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Exemption Order</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Mittal Business Holdings Trust (‘Acquirer’)</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 3(1), 4 and 5(1) of SEBI (Substantial  Acquisition  of  Shares  &amp;  Takeovers) Regulations, 2011</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65</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Prime Plantations Pvt.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Prime Plantations Pvt. Ltd, Adhunik Plantations Pvt. Ltd, Twentieth Century Plantation Pvt. Ltd, Vinod Kumar Saraf, Sharadchandra Bhagirath Jaju, Motilal Saraf and others. </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Section 12(1B) of SEBI Act, 1992. Regulation 3 of SEBI (Collective Investment Scheme) Regulations, 1999. </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66</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Sunstar Realty Development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Maxtor conclave pvt ltd, Blueview tradevin pvt. ltd, Jain nemi minerals pvt. ltd, Keshavah mercantile pvt. ltd, Frohar trading pvt. ltd., Quickscope dealers pvt. ltd. and Others </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Section 12A(a) (b) (c) of SEBI Act, 1992. Regulations 3 (a), (b), (c), (d) and 4 (1), 4 (2) (a), (e) of</w:t>
            </w:r>
            <w:r w:rsidRPr="00DF79C0">
              <w:rPr>
                <w:rFonts w:ascii="Palatino Linotype" w:eastAsia="Calibri" w:hAnsi="Palatino Linotype" w:cs="Mangal"/>
                <w:sz w:val="22"/>
                <w:szCs w:val="20"/>
                <w:lang w:bidi="hi-IN"/>
              </w:rPr>
              <w:t xml:space="preserve"> </w:t>
            </w:r>
            <w:r w:rsidRPr="00DF79C0">
              <w:rPr>
                <w:rFonts w:ascii="Palatino Linotype" w:eastAsia="Calibri" w:hAnsi="Palatino Linotype"/>
                <w:lang w:bidi="hi-IN"/>
              </w:rPr>
              <w:t>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67</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Nouveau Global Ventures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Skylight Distributors Pvt. Ltd, Suryamukhi Projects Pvt. Ltd, Mangalmayee Hirise Pvt. Ltd, Pushpanjali Commotrade Pvt. Ltd, Subhshree Hirise Pvt. Ltd, Growfast Realtors Pvt. Ltd and Others. </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 3(a),(b),(c),(d) and Regulation 4(1), 4(2) (a), (e) 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68</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Indiabulls Real Estate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Sameer Gehlaut IBR Trust</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Regulations 4 and 5(1) of  SEBI (Substantial  Acquisition  of  Shares  &amp;  Takeovers) Regulations, 2011</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spacing w:after="160" w:line="259" w:lineRule="auto"/>
              <w:rPr>
                <w:rFonts w:ascii="Palatino Linotype" w:eastAsia="Calibri" w:hAnsi="Palatino Linotype"/>
                <w:sz w:val="22"/>
                <w:szCs w:val="22"/>
                <w:lang w:bidi="hi-IN"/>
              </w:rPr>
            </w:pPr>
            <w:r>
              <w:rPr>
                <w:rFonts w:ascii="Palatino Linotype" w:eastAsia="Calibri" w:hAnsi="Palatino Linotype"/>
                <w:sz w:val="22"/>
                <w:szCs w:val="22"/>
                <w:lang w:bidi="hi-IN"/>
              </w:rPr>
              <w:t>69</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Ruchi Soya Industries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Aventis Biofeeds Pvt. Ltd, Navinya Multitrade Pvt. Ltd, Uni24 Techno Solutions Pvt. Ltd, Sunmate Trade, Shreyans Credit and Capital Pvt. Ltd, Betul Oils and Feeds Pvt. Ltd, Betul Minerals and Constructions Pvt. Ltd. </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Section 12A (a), (b), (c) of SEBI Act, 1992, Regulations 3(a), (b), (c), (d), 4(1), 4(2)(a) and (e) of SEBI (Prohibition of Fraudulent and Unfair Trading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70</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Dhani Services Limited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Exemption Order </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Sameer Gehlaut IVL Trust (‘Acquirer’)</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 3(2), 4 and 5(1) of SEBI (Substantial  Acquisition  of  Shares  &amp;  Takeovers) Regulations, 2011</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71</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16/03/2021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ICL Multitrading India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Corporate Capital Ventures Pvt. Ltd</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Clauses 1, 3, 4, 6 &amp; of the code of conduct under Schedule III to Regulation 13 of  the  SEBI (Merchant  Bankers) Regulations,  1992</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72</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16/03/2021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Arvind Goyal, Abhay Javlekar, Yatin Prakash, Manish Rathi, Dharmendra Bhajak, Ramesh Daga and others.</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Arvind Goyal, Abhay Javlekar, Yatin Prakash, Manish Rathi, Dharmendra Bhajak, Ramesh Daga and others.</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Sections 12A(a), (b) &amp; (c) of the SEBI Act, 1992. </w:t>
            </w:r>
          </w:p>
          <w:p w:rsidR="00FE3FAE" w:rsidRPr="00DF79C0" w:rsidRDefault="00FE3FAE" w:rsidP="00FE3FAE">
            <w:pPr>
              <w:rPr>
                <w:rFonts w:ascii="Palatino Linotype" w:eastAsia="Calibri" w:hAnsi="Palatino Linotype"/>
                <w:lang w:bidi="hi-IN"/>
              </w:rPr>
            </w:pPr>
          </w:p>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Regulations 3(a), (c) &amp; (d), 4(1) and 4(2)(h)of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B83873"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73</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17/03/2021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Ashika Capital Ltd  </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Sudar Industries Ltd</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 60(7) and 64 (1) of SEBI (Issue of Capital and Disclosure Requirements) Regulations, 2009.</w:t>
            </w:r>
          </w:p>
          <w:p w:rsidR="00FE3FAE" w:rsidRPr="00DF79C0" w:rsidRDefault="00FE3FAE" w:rsidP="00FE3FAE">
            <w:pPr>
              <w:rPr>
                <w:rFonts w:ascii="Palatino Linotype" w:eastAsia="Calibri" w:hAnsi="Palatino Linotype"/>
                <w:lang w:bidi="hi-IN"/>
              </w:rPr>
            </w:pPr>
          </w:p>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Regulation 13, Clauses 1, 2, 3, 4, 6, 7 and 21 of Schedule III, SEBI (Merchant Bankers) Regulations, 1992. </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74</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18/03/2021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Profit Money Advisor</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Profit Money Advisor and its Proprietor Prateek Singh. </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Sections 12A (a), (b) and (c) of the SEBI Act, 1992. </w:t>
            </w:r>
          </w:p>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Regulations 3 (a), (b), (c) and (d) and Regulations 4(1) and 4(2)(k) of 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75</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Indiabulls Integrated Services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Exemption Order</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Yaarii Digital Integrated Services Ltd (‘Acquirer’)</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 3(1), 4 and 5(1) of SEBI (Substantial  Acquisition  of  Shares  &amp;  Takeovers) Regulations, 2011</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76</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Greenply Industries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Exemption Order</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Mittal Business Holdings Trust (‘Acquirer’)</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Regulation 3(1), 4 and 5(1) of SEBI (Substantial  Acquisition  of  Shares  &amp;  Takeovers) Regulations, 2011</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77</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Prime Plantations Pvt.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Prime Plantations Pvt. Ltd, Adhunik Plantations Pvt. Ltd, Twentieth Century Plantation Pvt. Ltd, Vinod Kumar Saraf, Sharadchandra Bhagirath Jaju, Motilal Saraf and others. </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Section 12(1B) of SEBI Act, 1992. Regulation 3 of SEBI (Collective Investment Scheme) Regulations, 1999. </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78</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19/03/2021</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Sunstar Realty Development Ltd</w:t>
            </w:r>
          </w:p>
        </w:tc>
        <w:tc>
          <w:tcPr>
            <w:tcW w:w="1418"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11B</w:t>
            </w:r>
          </w:p>
        </w:tc>
        <w:tc>
          <w:tcPr>
            <w:tcW w:w="2126"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 xml:space="preserve">Maxtor conclave pvt ltd, Blueview tradevin pvt. ltd, Jain nemi minerals pvt. ltd, Keshavah mercantile pvt. ltd, Frohar trading pvt. ltd., Quickscope dealers pvt. ltd. and Others </w:t>
            </w:r>
          </w:p>
        </w:tc>
        <w:tc>
          <w:tcPr>
            <w:tcW w:w="2268" w:type="dxa"/>
            <w:tcBorders>
              <w:top w:val="single" w:sz="4" w:space="0" w:color="auto"/>
              <w:left w:val="single" w:sz="4" w:space="0" w:color="auto"/>
              <w:bottom w:val="single" w:sz="4" w:space="0" w:color="auto"/>
              <w:right w:val="single" w:sz="4" w:space="0" w:color="auto"/>
            </w:tcBorders>
          </w:tcPr>
          <w:p w:rsidR="00FE3FAE" w:rsidRPr="00DF79C0" w:rsidRDefault="00FE3FAE" w:rsidP="00FE3FAE">
            <w:pPr>
              <w:rPr>
                <w:rFonts w:ascii="Palatino Linotype" w:eastAsia="Calibri" w:hAnsi="Palatino Linotype"/>
                <w:lang w:bidi="hi-IN"/>
              </w:rPr>
            </w:pPr>
            <w:r w:rsidRPr="00DF79C0">
              <w:rPr>
                <w:rFonts w:ascii="Palatino Linotype" w:eastAsia="Calibri" w:hAnsi="Palatino Linotype"/>
                <w:lang w:bidi="hi-IN"/>
              </w:rPr>
              <w:t>Section 12A(a) (b) (c) of SEBI Act, 1992. Regulations 3 (a), (b), (c), (d) and 4 (1), 4 (2) (a), (e) of</w:t>
            </w:r>
            <w:r w:rsidRPr="00DF79C0">
              <w:rPr>
                <w:rFonts w:ascii="Palatino Linotype" w:eastAsia="Calibri" w:hAnsi="Palatino Linotype" w:cs="Mangal"/>
                <w:sz w:val="22"/>
                <w:szCs w:val="20"/>
                <w:lang w:bidi="hi-IN"/>
              </w:rPr>
              <w:t xml:space="preserve"> </w:t>
            </w:r>
            <w:r w:rsidRPr="00DF79C0">
              <w:rPr>
                <w:rFonts w:ascii="Palatino Linotype" w:eastAsia="Calibri" w:hAnsi="Palatino Linotype"/>
                <w:lang w:bidi="hi-IN"/>
              </w:rPr>
              <w:t>SEBI (Prohibition of Fraudulent and Unfair Trade  Practices) Regulations, 2003</w:t>
            </w:r>
          </w:p>
        </w:tc>
        <w:tc>
          <w:tcPr>
            <w:tcW w:w="1559" w:type="dxa"/>
            <w:tcBorders>
              <w:top w:val="single" w:sz="4" w:space="0" w:color="auto"/>
              <w:left w:val="single" w:sz="4" w:space="0" w:color="auto"/>
              <w:bottom w:val="single" w:sz="4" w:space="0" w:color="auto"/>
              <w:right w:val="single" w:sz="4" w:space="0" w:color="auto"/>
            </w:tcBorders>
            <w:noWrap/>
          </w:tcPr>
          <w:p w:rsidR="00FE3FAE" w:rsidRPr="00DF79C0" w:rsidRDefault="00FE3FAE" w:rsidP="00FE3FAE">
            <w:pPr>
              <w:jc w:val="right"/>
              <w:rPr>
                <w:rFonts w:ascii="Palatino Linotype" w:eastAsia="Calibri" w:hAnsi="Palatino Linotype"/>
                <w:lang w:bidi="hi-IN"/>
              </w:rPr>
            </w:pPr>
            <w:r w:rsidRPr="00DF79C0">
              <w:rPr>
                <w:rFonts w:ascii="Palatino Linotype" w:eastAsia="Calibri" w:hAnsi="Palatino Linotype"/>
                <w:lang w:bidi="hi-IN"/>
              </w:rPr>
              <w:t>-</w:t>
            </w:r>
          </w:p>
        </w:tc>
      </w:tr>
      <w:tr w:rsidR="00FE3FAE" w:rsidRPr="00A538EB" w:rsidTr="00FE3FAE">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79</w:t>
            </w:r>
          </w:p>
        </w:tc>
        <w:tc>
          <w:tcPr>
            <w:tcW w:w="1418" w:type="dxa"/>
            <w:tcBorders>
              <w:top w:val="single" w:sz="4" w:space="0" w:color="auto"/>
              <w:bottom w:val="single" w:sz="4" w:space="0" w:color="auto"/>
              <w:right w:val="single" w:sz="4" w:space="0" w:color="auto"/>
            </w:tcBorders>
            <w:shd w:val="clear" w:color="auto" w:fill="auto"/>
            <w:noWrap/>
          </w:tcPr>
          <w:p w:rsidR="00FE3FAE" w:rsidRPr="00DF79C0" w:rsidRDefault="00FE3FAE" w:rsidP="00FE3FAE">
            <w:pPr>
              <w:rPr>
                <w:rFonts w:ascii="Palatino Linotype" w:hAnsi="Palatino Linotype"/>
                <w:sz w:val="22"/>
                <w:szCs w:val="22"/>
              </w:rPr>
            </w:pPr>
            <w:r w:rsidRPr="00DF79C0">
              <w:rPr>
                <w:rFonts w:ascii="Palatino Linotype" w:hAnsi="Palatino Linotype"/>
                <w:sz w:val="22"/>
                <w:szCs w:val="22"/>
              </w:rPr>
              <w:t>23/03/2021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DF79C0" w:rsidRDefault="00FE3FAE" w:rsidP="00FE3FAE">
            <w:pPr>
              <w:shd w:val="clear" w:color="auto" w:fill="FFFFFF"/>
              <w:rPr>
                <w:rFonts w:ascii="Palatino Linotype" w:hAnsi="Palatino Linotype"/>
                <w:sz w:val="22"/>
                <w:szCs w:val="22"/>
                <w:lang w:eastAsia="en-IN"/>
              </w:rPr>
            </w:pPr>
            <w:r w:rsidRPr="00DF79C0">
              <w:rPr>
                <w:rFonts w:ascii="Palatino Linotype" w:hAnsi="Palatino Linotype"/>
                <w:sz w:val="22"/>
                <w:szCs w:val="22"/>
                <w:lang w:eastAsia="en-IN"/>
              </w:rPr>
              <w:t>Birla Power Solutions</w:t>
            </w:r>
          </w:p>
          <w:p w:rsidR="00FE3FAE" w:rsidRPr="00DF79C0" w:rsidRDefault="00FE3FAE" w:rsidP="00FE3FAE">
            <w:pPr>
              <w:shd w:val="clear" w:color="auto" w:fill="FFFFFF"/>
              <w:rPr>
                <w:rFonts w:ascii="Palatino Linotype" w:hAnsi="Palatino Linotype"/>
                <w:sz w:val="22"/>
                <w:szCs w:val="22"/>
                <w:lang w:eastAsia="en-IN"/>
              </w:rPr>
            </w:pPr>
            <w:r w:rsidRPr="00DF79C0">
              <w:rPr>
                <w:rFonts w:ascii="Palatino Linotype" w:hAnsi="Palatino Linotype"/>
                <w:sz w:val="22"/>
                <w:szCs w:val="22"/>
                <w:lang w:eastAsia="en-IN"/>
              </w:rPr>
              <w:t>Ltd</w:t>
            </w:r>
          </w:p>
          <w:p w:rsidR="00FE3FAE" w:rsidRPr="00DF79C0" w:rsidRDefault="00FE3FAE" w:rsidP="00FE3FAE">
            <w:pPr>
              <w:rPr>
                <w:rFonts w:ascii="Palatino Linotype" w:hAnsi="Palatino Linotype"/>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DF79C0" w:rsidRDefault="00FE3FAE" w:rsidP="00FE3FAE">
            <w:pPr>
              <w:rPr>
                <w:rFonts w:ascii="Palatino Linotype" w:hAnsi="Palatino Linotype"/>
                <w:sz w:val="22"/>
                <w:szCs w:val="22"/>
              </w:rPr>
            </w:pPr>
            <w:r w:rsidRPr="00DF79C0">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DF79C0" w:rsidRDefault="00FE3FAE" w:rsidP="00FE3FAE">
            <w:pPr>
              <w:shd w:val="clear" w:color="auto" w:fill="FFFFFF"/>
              <w:rPr>
                <w:rFonts w:ascii="Palatino Linotype" w:hAnsi="Palatino Linotype"/>
                <w:sz w:val="22"/>
                <w:szCs w:val="22"/>
                <w:lang w:eastAsia="en-IN"/>
              </w:rPr>
            </w:pPr>
            <w:r w:rsidRPr="00DF79C0">
              <w:rPr>
                <w:rFonts w:ascii="Palatino Linotype" w:hAnsi="Palatino Linotype"/>
                <w:sz w:val="22"/>
                <w:szCs w:val="22"/>
                <w:lang w:eastAsia="en-IN"/>
              </w:rPr>
              <w:t>Birla Power Solutions</w:t>
            </w:r>
          </w:p>
          <w:p w:rsidR="00FE3FAE" w:rsidRPr="00DF79C0" w:rsidRDefault="00FE3FAE" w:rsidP="00FE3FAE">
            <w:pPr>
              <w:shd w:val="clear" w:color="auto" w:fill="FFFFFF"/>
              <w:rPr>
                <w:rFonts w:ascii="Palatino Linotype" w:hAnsi="Palatino Linotype"/>
                <w:sz w:val="22"/>
                <w:szCs w:val="22"/>
                <w:lang w:eastAsia="en-IN"/>
              </w:rPr>
            </w:pPr>
            <w:r w:rsidRPr="00DF79C0">
              <w:rPr>
                <w:rFonts w:ascii="Palatino Linotype" w:hAnsi="Palatino Linotype"/>
                <w:sz w:val="22"/>
                <w:szCs w:val="22"/>
                <w:lang w:eastAsia="en-IN"/>
              </w:rPr>
              <w:t xml:space="preserve">Ltd, </w:t>
            </w:r>
            <w:r w:rsidRPr="00DF79C0">
              <w:rPr>
                <w:rFonts w:ascii="Palatino Linotype" w:hAnsi="Palatino Linotype"/>
                <w:sz w:val="22"/>
                <w:szCs w:val="22"/>
                <w:shd w:val="clear" w:color="auto" w:fill="FFFFFF"/>
              </w:rPr>
              <w:t xml:space="preserve">P.V.R Murthy, </w:t>
            </w:r>
            <w:r w:rsidRPr="00DF79C0">
              <w:rPr>
                <w:rFonts w:ascii="Palatino Linotype" w:hAnsi="Palatino Linotype"/>
                <w:sz w:val="22"/>
                <w:szCs w:val="22"/>
                <w:lang w:eastAsia="en-IN"/>
              </w:rPr>
              <w:t xml:space="preserve">N. Nagesh, </w:t>
            </w:r>
            <w:r w:rsidRPr="00DF79C0">
              <w:rPr>
                <w:rFonts w:ascii="Palatino Linotype" w:hAnsi="Palatino Linotype"/>
                <w:sz w:val="22"/>
                <w:szCs w:val="22"/>
                <w:shd w:val="clear" w:color="auto" w:fill="FFFFFF"/>
              </w:rPr>
              <w:t>Rajesh V. Shah, Upkar Singh Kohli</w:t>
            </w:r>
          </w:p>
          <w:p w:rsidR="00FE3FAE" w:rsidRPr="00DF79C0" w:rsidRDefault="00FE3FAE" w:rsidP="00FE3FAE">
            <w:pPr>
              <w:shd w:val="clear" w:color="auto" w:fill="FFFFFF"/>
              <w:rPr>
                <w:rFonts w:ascii="Palatino Linotype" w:hAnsi="Palatino Linotype"/>
                <w:sz w:val="22"/>
                <w:szCs w:val="22"/>
                <w:lang w:eastAsia="en-IN"/>
              </w:rPr>
            </w:pPr>
          </w:p>
          <w:p w:rsidR="00FE3FAE" w:rsidRPr="00DF79C0" w:rsidRDefault="00FE3FAE" w:rsidP="00FE3FAE">
            <w:pPr>
              <w:shd w:val="clear" w:color="auto" w:fill="FFFFFF"/>
              <w:rPr>
                <w:rFonts w:ascii="Palatino Linotype" w:hAnsi="Palatino Linotype"/>
                <w:sz w:val="22"/>
                <w:szCs w:val="22"/>
                <w:lang w:eastAsia="en-IN"/>
              </w:rPr>
            </w:pPr>
          </w:p>
          <w:p w:rsidR="00FE3FAE" w:rsidRPr="00DF79C0" w:rsidRDefault="00FE3FAE" w:rsidP="00FE3FAE">
            <w:pPr>
              <w:rPr>
                <w:rFonts w:ascii="Palatino Linotype" w:hAnsi="Palatino Linotype"/>
                <w:sz w:val="22"/>
                <w:szCs w:val="22"/>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DF79C0" w:rsidRDefault="00FE3FAE" w:rsidP="00FE3FAE">
            <w:pPr>
              <w:rPr>
                <w:rFonts w:ascii="Palatino Linotype" w:hAnsi="Palatino Linotype" w:cs="Arial"/>
                <w:sz w:val="22"/>
                <w:szCs w:val="22"/>
                <w:lang w:val="en-IN" w:eastAsia="en-IN" w:bidi="hi-IN"/>
              </w:rPr>
            </w:pPr>
            <w:r w:rsidRPr="00DF79C0">
              <w:rPr>
                <w:rFonts w:ascii="Palatino Linotype" w:hAnsi="Palatino Linotype" w:cs="Arial"/>
                <w:sz w:val="22"/>
                <w:szCs w:val="22"/>
                <w:lang w:val="en-IN" w:eastAsia="en-IN" w:bidi="hi-IN"/>
              </w:rPr>
              <w:t>Section 12A (a) of SEBI Act, 1992 read with Regulations 3 (b) and 4(1) of PFUTP Regulations</w:t>
            </w:r>
          </w:p>
          <w:p w:rsidR="00FE3FAE" w:rsidRPr="00DF79C0" w:rsidRDefault="00FE3FAE" w:rsidP="00FE3FAE">
            <w:pPr>
              <w:rPr>
                <w:rFonts w:ascii="Palatino Linotype" w:hAnsi="Palatino Linotype"/>
                <w:sz w:val="22"/>
                <w:szCs w:val="22"/>
                <w:shd w:val="clear" w:color="auto" w:fill="FFFFFF"/>
              </w:rPr>
            </w:pPr>
            <w:r w:rsidRPr="00DF79C0">
              <w:rPr>
                <w:rFonts w:ascii="Palatino Linotype" w:hAnsi="Palatino Linotype"/>
                <w:sz w:val="22"/>
                <w:szCs w:val="22"/>
                <w:shd w:val="clear" w:color="auto" w:fill="FFFFFF"/>
              </w:rPr>
              <w:t xml:space="preserve">Section 12A(a), (b) &amp; (c) of SEBI Act, 1992 </w:t>
            </w:r>
          </w:p>
          <w:p w:rsidR="00FE3FAE" w:rsidRPr="00DF79C0" w:rsidRDefault="00FE3FAE" w:rsidP="00FE3FAE">
            <w:pPr>
              <w:rPr>
                <w:rFonts w:ascii="Palatino Linotype" w:hAnsi="Palatino Linotype"/>
                <w:sz w:val="22"/>
                <w:szCs w:val="22"/>
                <w:shd w:val="clear" w:color="auto" w:fill="FFFFFF"/>
              </w:rPr>
            </w:pPr>
            <w:r w:rsidRPr="00DF79C0">
              <w:rPr>
                <w:rFonts w:ascii="Palatino Linotype" w:hAnsi="Palatino Linotype"/>
                <w:sz w:val="22"/>
                <w:szCs w:val="22"/>
                <w:shd w:val="clear" w:color="auto" w:fill="FFFFFF"/>
              </w:rPr>
              <w:t xml:space="preserve">read with Regulations </w:t>
            </w:r>
          </w:p>
          <w:p w:rsidR="00FE3FAE" w:rsidRPr="00DF79C0" w:rsidRDefault="00FE3FAE" w:rsidP="00FE3FAE">
            <w:pPr>
              <w:rPr>
                <w:rFonts w:ascii="Palatino Linotype" w:hAnsi="Palatino Linotype"/>
                <w:sz w:val="22"/>
                <w:szCs w:val="22"/>
                <w:shd w:val="clear" w:color="auto" w:fill="FFFFFF"/>
              </w:rPr>
            </w:pPr>
            <w:r w:rsidRPr="00DF79C0">
              <w:rPr>
                <w:rFonts w:ascii="Palatino Linotype" w:hAnsi="Palatino Linotype"/>
                <w:sz w:val="22"/>
                <w:szCs w:val="22"/>
                <w:shd w:val="clear" w:color="auto" w:fill="FFFFFF"/>
              </w:rPr>
              <w:t>3, (b) and 4(1), (2)(f), (k) &amp; (r) of PFUTP Regulations, 2003</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DF79C0" w:rsidRDefault="00FE3FAE" w:rsidP="00FE3FAE">
            <w:pPr>
              <w:pStyle w:val="ListParagraph"/>
              <w:numPr>
                <w:ilvl w:val="0"/>
                <w:numId w:val="23"/>
              </w:numPr>
              <w:spacing w:after="160" w:line="259" w:lineRule="auto"/>
              <w:jc w:val="right"/>
              <w:rPr>
                <w:rFonts w:ascii="Palatino Linotype" w:hAnsi="Palatino Linotype"/>
                <w:sz w:val="22"/>
                <w:szCs w:val="22"/>
              </w:rPr>
            </w:pPr>
          </w:p>
        </w:tc>
      </w:tr>
      <w:tr w:rsidR="00FE3FAE" w:rsidRPr="00A538EB"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FE3FAE" w:rsidRPr="00DF79C0" w:rsidRDefault="00DF79C0" w:rsidP="00FE3FAE">
            <w:pPr>
              <w:rPr>
                <w:rFonts w:ascii="Palatino Linotype" w:eastAsia="Calibri" w:hAnsi="Palatino Linotype"/>
                <w:sz w:val="22"/>
                <w:szCs w:val="22"/>
                <w:lang w:bidi="hi-IN"/>
              </w:rPr>
            </w:pPr>
            <w:r>
              <w:rPr>
                <w:rFonts w:ascii="Palatino Linotype" w:eastAsia="Calibri" w:hAnsi="Palatino Linotype"/>
                <w:sz w:val="22"/>
                <w:szCs w:val="22"/>
                <w:lang w:bidi="hi-IN"/>
              </w:rPr>
              <w:t>80</w:t>
            </w:r>
          </w:p>
        </w:tc>
        <w:tc>
          <w:tcPr>
            <w:tcW w:w="1418" w:type="dxa"/>
            <w:tcBorders>
              <w:top w:val="single" w:sz="4" w:space="0" w:color="auto"/>
              <w:bottom w:val="single" w:sz="4" w:space="0" w:color="auto"/>
              <w:right w:val="single" w:sz="4" w:space="0" w:color="auto"/>
            </w:tcBorders>
            <w:shd w:val="clear" w:color="auto" w:fill="auto"/>
            <w:noWrap/>
          </w:tcPr>
          <w:p w:rsidR="00FE3FAE" w:rsidRPr="00DF79C0" w:rsidRDefault="00FE3FAE" w:rsidP="00FE3FAE">
            <w:pPr>
              <w:rPr>
                <w:rFonts w:ascii="Palatino Linotype" w:hAnsi="Palatino Linotype"/>
                <w:sz w:val="22"/>
                <w:szCs w:val="22"/>
              </w:rPr>
            </w:pPr>
            <w:r w:rsidRPr="00DF79C0">
              <w:rPr>
                <w:rFonts w:ascii="Palatino Linotype" w:hAnsi="Palatino Linotype"/>
                <w:sz w:val="22"/>
                <w:szCs w:val="22"/>
              </w:rPr>
              <w:t>24/03/2021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DF79C0" w:rsidRDefault="00FE3FAE" w:rsidP="00FE3FAE">
            <w:pPr>
              <w:shd w:val="clear" w:color="auto" w:fill="FFFFFF"/>
              <w:rPr>
                <w:rFonts w:ascii="Palatino Linotype" w:hAnsi="Palatino Linotype"/>
                <w:sz w:val="22"/>
                <w:szCs w:val="22"/>
                <w:lang w:eastAsia="en-IN"/>
              </w:rPr>
            </w:pPr>
            <w:r w:rsidRPr="00DF79C0">
              <w:rPr>
                <w:rFonts w:ascii="Palatino Linotype" w:hAnsi="Palatino Linotype"/>
                <w:sz w:val="22"/>
                <w:szCs w:val="22"/>
                <w:shd w:val="clear" w:color="auto" w:fill="FFFFFF"/>
              </w:rPr>
              <w:t>Falcon Tyres Limited and Dunlop India Limited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FE3FAE" w:rsidRPr="00DF79C0" w:rsidRDefault="00FE3FAE" w:rsidP="00FE3FAE">
            <w:pPr>
              <w:rPr>
                <w:rFonts w:ascii="Palatino Linotype" w:hAnsi="Palatino Linotype"/>
                <w:sz w:val="22"/>
                <w:szCs w:val="22"/>
              </w:rPr>
            </w:pPr>
            <w:r w:rsidRPr="00DF79C0">
              <w:rPr>
                <w:rFonts w:ascii="Palatino Linotype" w:hAnsi="Palatino Linotype"/>
                <w:sz w:val="22"/>
                <w:szCs w:val="22"/>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FE3FAE" w:rsidRPr="00DF79C0" w:rsidRDefault="00FE3FAE" w:rsidP="00FE3FAE">
            <w:pPr>
              <w:shd w:val="clear" w:color="auto" w:fill="FFFFFF"/>
              <w:rPr>
                <w:rFonts w:ascii="Palatino Linotype" w:hAnsi="Palatino Linotype"/>
                <w:sz w:val="22"/>
                <w:szCs w:val="22"/>
                <w:lang w:eastAsia="en-IN"/>
              </w:rPr>
            </w:pPr>
            <w:r w:rsidRPr="00DF79C0">
              <w:rPr>
                <w:rFonts w:ascii="Palatino Linotype" w:hAnsi="Palatino Linotype"/>
                <w:sz w:val="22"/>
                <w:szCs w:val="22"/>
                <w:shd w:val="clear" w:color="auto" w:fill="FFFFFF"/>
              </w:rPr>
              <w:t xml:space="preserve">Falcon Tyres Ltd, Pawan Ruia, Sunil Bhansali, S. Ravi, Mohan Chuahan.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FE3FAE" w:rsidRPr="00DF79C0" w:rsidRDefault="00FE3FAE" w:rsidP="00FE3FAE">
            <w:pPr>
              <w:shd w:val="clear" w:color="auto" w:fill="FFFFFF"/>
              <w:rPr>
                <w:rFonts w:ascii="Palatino Linotype" w:hAnsi="Palatino Linotype"/>
                <w:sz w:val="22"/>
                <w:szCs w:val="22"/>
                <w:lang w:eastAsia="en-IN"/>
              </w:rPr>
            </w:pPr>
            <w:r w:rsidRPr="00DF79C0">
              <w:rPr>
                <w:rFonts w:ascii="Palatino Linotype" w:hAnsi="Palatino Linotype"/>
                <w:sz w:val="22"/>
                <w:szCs w:val="22"/>
                <w:lang w:eastAsia="en-IN"/>
              </w:rPr>
              <w:t xml:space="preserve">Rule   19(A)  of  Securities </w:t>
            </w:r>
          </w:p>
          <w:p w:rsidR="00FE3FAE" w:rsidRPr="00DF79C0" w:rsidRDefault="00FE3FAE" w:rsidP="00FE3FAE">
            <w:pPr>
              <w:shd w:val="clear" w:color="auto" w:fill="FFFFFF"/>
              <w:rPr>
                <w:rFonts w:ascii="Palatino Linotype" w:hAnsi="Palatino Linotype"/>
                <w:sz w:val="22"/>
                <w:szCs w:val="22"/>
                <w:lang w:eastAsia="en-IN"/>
              </w:rPr>
            </w:pPr>
            <w:r w:rsidRPr="00DF79C0">
              <w:rPr>
                <w:rFonts w:ascii="Palatino Linotype" w:hAnsi="Palatino Linotype"/>
                <w:sz w:val="22"/>
                <w:szCs w:val="22"/>
                <w:lang w:eastAsia="en-IN"/>
              </w:rPr>
              <w:t xml:space="preserve">Contracts (Regulation) Rules, 1957 (“SCRR”) and clause 40A of Listing Agreement </w:t>
            </w: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FE3FAE" w:rsidRPr="00DF79C0" w:rsidRDefault="00FE3FAE" w:rsidP="00FE3FAE">
            <w:pPr>
              <w:pStyle w:val="ListParagraph"/>
              <w:numPr>
                <w:ilvl w:val="0"/>
                <w:numId w:val="23"/>
              </w:numPr>
              <w:spacing w:after="160" w:line="259" w:lineRule="auto"/>
              <w:jc w:val="right"/>
              <w:rPr>
                <w:rFonts w:ascii="Palatino Linotype" w:hAnsi="Palatino Linotype"/>
                <w:sz w:val="22"/>
                <w:szCs w:val="22"/>
              </w:rPr>
            </w:pPr>
          </w:p>
        </w:tc>
      </w:tr>
      <w:tr w:rsidR="00C21F0D" w:rsidRPr="00A538EB"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Pr="00DF79C0" w:rsidRDefault="00DF79C0" w:rsidP="00C21F0D">
            <w:pPr>
              <w:rPr>
                <w:rFonts w:ascii="Palatino Linotype" w:eastAsia="Calibri" w:hAnsi="Palatino Linotype"/>
                <w:sz w:val="22"/>
                <w:szCs w:val="22"/>
                <w:lang w:bidi="hi-IN"/>
              </w:rPr>
            </w:pPr>
            <w:r>
              <w:rPr>
                <w:rFonts w:ascii="Palatino Linotype" w:eastAsia="Calibri" w:hAnsi="Palatino Linotype"/>
                <w:sz w:val="22"/>
                <w:szCs w:val="22"/>
                <w:lang w:bidi="hi-IN"/>
              </w:rPr>
              <w:t>81</w:t>
            </w:r>
          </w:p>
        </w:tc>
        <w:tc>
          <w:tcPr>
            <w:tcW w:w="1418" w:type="dxa"/>
            <w:tcBorders>
              <w:top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lang w:val="en-IN"/>
              </w:rPr>
            </w:pPr>
            <w:r w:rsidRPr="00DF79C0">
              <w:rPr>
                <w:rFonts w:ascii="Palatino Linotype" w:eastAsia="Calibri" w:hAnsi="Palatino Linotype"/>
                <w:sz w:val="22"/>
                <w:szCs w:val="22"/>
                <w:lang w:val="en-IN"/>
              </w:rPr>
              <w:t>30/03/2021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shd w:val="clear" w:color="auto" w:fill="FFFFFF"/>
                <w:lang w:val="en-IN"/>
              </w:rPr>
            </w:pPr>
            <w:r w:rsidRPr="00DF79C0">
              <w:rPr>
                <w:rFonts w:ascii="Palatino Linotype" w:eastAsia="Calibri" w:hAnsi="Palatino Linotype"/>
                <w:sz w:val="22"/>
                <w:szCs w:val="22"/>
                <w:shd w:val="clear" w:color="auto" w:fill="FFFFFF"/>
                <w:lang w:val="en-IN"/>
              </w:rPr>
              <w:t>Zenith Birla (India)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shd w:val="clear" w:color="auto" w:fill="FFFFFF"/>
                <w:lang w:val="en-IN"/>
              </w:rPr>
            </w:pPr>
            <w:r w:rsidRPr="00DF79C0">
              <w:rPr>
                <w:rFonts w:ascii="Palatino Linotype" w:eastAsia="Calibri" w:hAnsi="Palatino Linotype"/>
                <w:sz w:val="22"/>
                <w:szCs w:val="22"/>
                <w:shd w:val="clear" w:color="auto" w:fill="FFFFFF"/>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lang w:val="en-IN"/>
              </w:rPr>
            </w:pPr>
            <w:r w:rsidRPr="00DF79C0">
              <w:rPr>
                <w:rFonts w:ascii="Palatino Linotype" w:eastAsia="Calibri" w:hAnsi="Palatino Linotype"/>
                <w:sz w:val="22"/>
                <w:szCs w:val="22"/>
                <w:shd w:val="clear" w:color="auto" w:fill="FFFFFF"/>
                <w:lang w:val="en-IN"/>
              </w:rPr>
              <w:t xml:space="preserve">P.V.R. Murthy, Yash Birla and 11 others, </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Sections 12A(a), (b), (c) of SEBI Act, 1992 r/w</w:t>
            </w:r>
          </w:p>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Regulation 3(a), (b), (c), (d) and 4(1) of PFUTP</w:t>
            </w:r>
          </w:p>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Regulations, 2003</w:t>
            </w:r>
          </w:p>
          <w:p w:rsidR="00C21F0D" w:rsidRPr="00DF79C0"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numPr>
                <w:ilvl w:val="0"/>
                <w:numId w:val="24"/>
              </w:numPr>
              <w:spacing w:after="160" w:line="259" w:lineRule="auto"/>
              <w:contextualSpacing/>
              <w:jc w:val="right"/>
              <w:rPr>
                <w:rFonts w:ascii="Palatino Linotype" w:eastAsia="Calibri" w:hAnsi="Palatino Linotype"/>
                <w:sz w:val="22"/>
                <w:szCs w:val="22"/>
                <w:lang w:val="en-IN"/>
              </w:rPr>
            </w:pPr>
          </w:p>
        </w:tc>
      </w:tr>
      <w:tr w:rsidR="00C21F0D" w:rsidRPr="00A538EB"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Pr="00DF79C0" w:rsidRDefault="00DF79C0" w:rsidP="00C21F0D">
            <w:pPr>
              <w:rPr>
                <w:rFonts w:ascii="Palatino Linotype" w:eastAsia="Calibri" w:hAnsi="Palatino Linotype"/>
                <w:sz w:val="22"/>
                <w:szCs w:val="22"/>
                <w:lang w:bidi="hi-IN"/>
              </w:rPr>
            </w:pPr>
            <w:r>
              <w:rPr>
                <w:rFonts w:ascii="Palatino Linotype" w:eastAsia="Calibri" w:hAnsi="Palatino Linotype"/>
                <w:sz w:val="22"/>
                <w:szCs w:val="22"/>
                <w:lang w:bidi="hi-IN"/>
              </w:rPr>
              <w:t>82</w:t>
            </w:r>
          </w:p>
        </w:tc>
        <w:tc>
          <w:tcPr>
            <w:tcW w:w="1418" w:type="dxa"/>
            <w:tcBorders>
              <w:top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lang w:val="en-IN"/>
              </w:rPr>
            </w:pPr>
            <w:r w:rsidRPr="00DF79C0">
              <w:rPr>
                <w:rFonts w:ascii="Palatino Linotype" w:eastAsia="Calibri" w:hAnsi="Palatino Linotype"/>
                <w:sz w:val="22"/>
                <w:szCs w:val="22"/>
                <w:lang w:val="en-IN"/>
              </w:rPr>
              <w:t>30/03/2021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shd w:val="clear" w:color="auto" w:fill="FFFFFF"/>
                <w:lang w:val="en-IN"/>
              </w:rPr>
            </w:pPr>
            <w:r w:rsidRPr="00DF79C0">
              <w:rPr>
                <w:rFonts w:ascii="Palatino Linotype" w:eastAsia="Calibri" w:hAnsi="Palatino Linotype"/>
                <w:sz w:val="22"/>
                <w:szCs w:val="22"/>
                <w:shd w:val="clear" w:color="auto" w:fill="FFFFFF"/>
                <w:lang w:val="en-IN"/>
              </w:rPr>
              <w:t>ADF Foods Ltd</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shd w:val="clear" w:color="auto" w:fill="FFFFFF"/>
                <w:lang w:val="en-IN"/>
              </w:rPr>
            </w:pPr>
            <w:r w:rsidRPr="00DF79C0">
              <w:rPr>
                <w:rFonts w:ascii="Palatino Linotype" w:eastAsia="Calibri" w:hAnsi="Palatino Linotype"/>
                <w:sz w:val="22"/>
                <w:szCs w:val="22"/>
                <w:shd w:val="clear" w:color="auto" w:fill="FFFFFF"/>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lang w:val="en-IN"/>
              </w:rPr>
            </w:pPr>
            <w:r w:rsidRPr="00DF79C0">
              <w:rPr>
                <w:rFonts w:ascii="Palatino Linotype" w:eastAsia="Calibri" w:hAnsi="Palatino Linotype"/>
                <w:sz w:val="22"/>
                <w:szCs w:val="22"/>
                <w:lang w:val="en-IN"/>
              </w:rPr>
              <w:t>Pallavi Mehta and five others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 xml:space="preserve">Section 2 (1) (d) and 2 (1) (f),. </w:t>
            </w:r>
          </w:p>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 xml:space="preserve">Regulation 2(1)(d)(i), </w:t>
            </w:r>
            <w:r w:rsidRPr="00DF79C0">
              <w:rPr>
                <w:rFonts w:ascii="Palatino Linotype" w:eastAsia="Calibri" w:hAnsi="Palatino Linotype"/>
                <w:sz w:val="22"/>
                <w:szCs w:val="22"/>
                <w:shd w:val="clear" w:color="auto" w:fill="FFFFFF"/>
                <w:lang w:val="en-IN"/>
              </w:rPr>
              <w:t xml:space="preserve">2(1)(f), 2 (1) (g)(i), 2 (1) (g)(ii), 3(1), </w:t>
            </w:r>
            <w:r w:rsidRPr="00DF79C0">
              <w:rPr>
                <w:rFonts w:ascii="Palatino Linotype" w:hAnsi="Palatino Linotype"/>
                <w:sz w:val="22"/>
                <w:szCs w:val="22"/>
                <w:lang w:val="en-IN" w:eastAsia="en-IN"/>
              </w:rPr>
              <w:t>of PIT Regulations</w:t>
            </w:r>
          </w:p>
          <w:p w:rsidR="00C21F0D" w:rsidRPr="00DF79C0" w:rsidRDefault="00C21F0D" w:rsidP="00C21F0D">
            <w:pPr>
              <w:shd w:val="clear" w:color="auto" w:fill="FFFFFF"/>
              <w:rPr>
                <w:rFonts w:ascii="Palatino Linotype" w:hAnsi="Palatino Linotype"/>
                <w:sz w:val="22"/>
                <w:szCs w:val="22"/>
                <w:lang w:val="en-IN" w:eastAsia="en-IN"/>
              </w:rPr>
            </w:pPr>
          </w:p>
          <w:p w:rsidR="00C21F0D" w:rsidRPr="00DF79C0"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numPr>
                <w:ilvl w:val="0"/>
                <w:numId w:val="24"/>
              </w:numPr>
              <w:spacing w:after="160" w:line="259" w:lineRule="auto"/>
              <w:contextualSpacing/>
              <w:jc w:val="right"/>
              <w:rPr>
                <w:rFonts w:ascii="Palatino Linotype" w:eastAsia="Calibri" w:hAnsi="Palatino Linotype"/>
                <w:sz w:val="22"/>
                <w:szCs w:val="22"/>
                <w:lang w:val="en-IN"/>
              </w:rPr>
            </w:pPr>
          </w:p>
        </w:tc>
      </w:tr>
      <w:tr w:rsidR="00C21F0D" w:rsidRPr="00A538EB"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Pr="00DF79C0" w:rsidRDefault="00DF79C0" w:rsidP="00C21F0D">
            <w:pPr>
              <w:rPr>
                <w:rFonts w:ascii="Palatino Linotype" w:eastAsia="Calibri" w:hAnsi="Palatino Linotype"/>
                <w:sz w:val="22"/>
                <w:szCs w:val="22"/>
                <w:lang w:bidi="hi-IN"/>
              </w:rPr>
            </w:pPr>
            <w:r>
              <w:rPr>
                <w:rFonts w:ascii="Palatino Linotype" w:eastAsia="Calibri" w:hAnsi="Palatino Linotype"/>
                <w:sz w:val="22"/>
                <w:szCs w:val="22"/>
                <w:lang w:bidi="hi-IN"/>
              </w:rPr>
              <w:t>83</w:t>
            </w:r>
          </w:p>
        </w:tc>
        <w:tc>
          <w:tcPr>
            <w:tcW w:w="1418" w:type="dxa"/>
            <w:tcBorders>
              <w:top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lang w:val="en-IN"/>
              </w:rPr>
            </w:pPr>
            <w:r w:rsidRPr="00DF79C0">
              <w:rPr>
                <w:rFonts w:ascii="Palatino Linotype" w:eastAsia="Calibri" w:hAnsi="Palatino Linotype"/>
                <w:sz w:val="22"/>
                <w:szCs w:val="22"/>
                <w:lang w:val="en-IN"/>
              </w:rPr>
              <w:t>30/03/2021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Trifid</w:t>
            </w:r>
          </w:p>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Research</w:t>
            </w:r>
          </w:p>
          <w:p w:rsidR="00C21F0D" w:rsidRPr="00DF79C0" w:rsidRDefault="00C21F0D" w:rsidP="00C21F0D">
            <w:pPr>
              <w:rPr>
                <w:rFonts w:ascii="Palatino Linotype" w:eastAsia="Calibri" w:hAnsi="Palatino Linotype"/>
                <w:sz w:val="22"/>
                <w:szCs w:val="22"/>
                <w:shd w:val="clear" w:color="auto" w:fill="FFFFFF"/>
                <w:lang w:val="en-IN"/>
              </w:rPr>
            </w:pP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shd w:val="clear" w:color="auto" w:fill="FFFFFF"/>
                <w:lang w:val="en-IN"/>
              </w:rPr>
            </w:pPr>
            <w:r w:rsidRPr="00DF79C0">
              <w:rPr>
                <w:rFonts w:ascii="Palatino Linotype" w:eastAsia="Calibri" w:hAnsi="Palatino Linotype"/>
                <w:sz w:val="22"/>
                <w:szCs w:val="22"/>
                <w:shd w:val="clear" w:color="auto" w:fill="FFFFFF"/>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Trifid</w:t>
            </w:r>
          </w:p>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 xml:space="preserve">Research and partners Vivek Tyagi, Lydia Thomas. </w:t>
            </w:r>
          </w:p>
          <w:p w:rsidR="00C21F0D" w:rsidRPr="00DF79C0" w:rsidRDefault="00C21F0D" w:rsidP="00C21F0D">
            <w:pPr>
              <w:shd w:val="clear" w:color="auto" w:fill="FFFFFF"/>
              <w:rPr>
                <w:rFonts w:ascii="Palatino Linotype" w:hAnsi="Palatino Linotype"/>
                <w:sz w:val="22"/>
                <w:szCs w:val="22"/>
                <w:lang w:val="en-IN" w:eastAsia="en-IN"/>
              </w:rPr>
            </w:pPr>
          </w:p>
          <w:p w:rsidR="00C21F0D" w:rsidRPr="00DF79C0" w:rsidRDefault="00C21F0D" w:rsidP="00C21F0D">
            <w:pPr>
              <w:shd w:val="clear" w:color="auto" w:fill="FFFFFF"/>
              <w:rPr>
                <w:rFonts w:ascii="Palatino Linotype" w:hAnsi="Palatino Linotype"/>
                <w:sz w:val="22"/>
                <w:szCs w:val="22"/>
                <w:lang w:val="en-IN" w:eastAsia="en-IN"/>
              </w:rPr>
            </w:pP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DF79C0" w:rsidRDefault="00C21F0D" w:rsidP="00C21F0D">
            <w:pPr>
              <w:rPr>
                <w:rFonts w:ascii="Palatino Linotype" w:hAnsi="Palatino Linotype" w:cs="Arial"/>
                <w:sz w:val="22"/>
                <w:szCs w:val="22"/>
                <w:lang w:val="en-IN" w:eastAsia="en-IN" w:bidi="hi-IN"/>
              </w:rPr>
            </w:pPr>
            <w:r w:rsidRPr="00DF79C0">
              <w:rPr>
                <w:rFonts w:ascii="Palatino Linotype" w:hAnsi="Palatino Linotype" w:cs="Arial"/>
                <w:sz w:val="22"/>
                <w:szCs w:val="22"/>
                <w:lang w:val="en-IN" w:eastAsia="en-IN" w:bidi="hi-IN"/>
              </w:rPr>
              <w:t>Regulation 16(e)</w:t>
            </w:r>
          </w:p>
          <w:p w:rsidR="00C21F0D" w:rsidRPr="00DF79C0" w:rsidRDefault="00C21F0D" w:rsidP="00C21F0D">
            <w:pPr>
              <w:rPr>
                <w:rFonts w:ascii="Palatino Linotype" w:hAnsi="Palatino Linotype" w:cs="Arial"/>
                <w:sz w:val="22"/>
                <w:szCs w:val="22"/>
                <w:lang w:val="en-IN" w:eastAsia="en-IN" w:bidi="hi-IN"/>
              </w:rPr>
            </w:pPr>
            <w:r w:rsidRPr="00DF79C0">
              <w:rPr>
                <w:rFonts w:ascii="Palatino Linotype" w:hAnsi="Palatino Linotype" w:cs="Arial"/>
                <w:sz w:val="22"/>
                <w:szCs w:val="22"/>
                <w:lang w:val="en-IN" w:eastAsia="en-IN" w:bidi="hi-IN"/>
              </w:rPr>
              <w:t>And Clauses 1, 2</w:t>
            </w:r>
          </w:p>
          <w:p w:rsidR="00C21F0D" w:rsidRPr="00DF79C0" w:rsidRDefault="00C21F0D" w:rsidP="00C21F0D">
            <w:pPr>
              <w:rPr>
                <w:rFonts w:ascii="Palatino Linotype" w:hAnsi="Palatino Linotype" w:cs="Arial"/>
                <w:sz w:val="22"/>
                <w:szCs w:val="22"/>
                <w:lang w:val="en-IN" w:eastAsia="en-IN" w:bidi="hi-IN"/>
              </w:rPr>
            </w:pPr>
            <w:r w:rsidRPr="00DF79C0">
              <w:rPr>
                <w:rFonts w:ascii="Palatino Linotype" w:hAnsi="Palatino Linotype" w:cs="Arial"/>
                <w:sz w:val="22"/>
                <w:szCs w:val="22"/>
                <w:lang w:val="en-IN" w:eastAsia="en-IN" w:bidi="hi-IN"/>
              </w:rPr>
              <w:t>And 8 of the Code of Conduct as mentioned</w:t>
            </w:r>
          </w:p>
          <w:p w:rsidR="00C21F0D" w:rsidRPr="00DF79C0" w:rsidRDefault="00C21F0D" w:rsidP="00C21F0D">
            <w:pPr>
              <w:rPr>
                <w:rFonts w:ascii="Palatino Linotype" w:hAnsi="Palatino Linotype" w:cs="Arial"/>
                <w:sz w:val="22"/>
                <w:szCs w:val="22"/>
                <w:lang w:val="en-IN" w:eastAsia="en-IN" w:bidi="hi-IN"/>
              </w:rPr>
            </w:pPr>
            <w:r w:rsidRPr="00DF79C0">
              <w:rPr>
                <w:rFonts w:ascii="Palatino Linotype" w:hAnsi="Palatino Linotype" w:cs="Arial"/>
                <w:sz w:val="22"/>
                <w:szCs w:val="22"/>
                <w:lang w:val="en-IN" w:eastAsia="en-IN" w:bidi="hi-IN"/>
              </w:rPr>
              <w:t>In Schedule III read with Regulation 15(9),  of IA Regulations;</w:t>
            </w:r>
          </w:p>
          <w:p w:rsidR="00C21F0D" w:rsidRPr="00DF79C0" w:rsidRDefault="00C21F0D" w:rsidP="00C21F0D">
            <w:pPr>
              <w:rPr>
                <w:rFonts w:ascii="Palatino Linotype" w:hAnsi="Palatino Linotype" w:cs="Arial"/>
                <w:sz w:val="22"/>
                <w:szCs w:val="22"/>
                <w:lang w:val="en-IN" w:eastAsia="en-IN" w:bidi="hi-IN"/>
              </w:rPr>
            </w:pPr>
          </w:p>
          <w:p w:rsidR="00C21F0D" w:rsidRPr="00DF79C0" w:rsidRDefault="00C21F0D" w:rsidP="00C21F0D">
            <w:pPr>
              <w:rPr>
                <w:rFonts w:ascii="Palatino Linotype" w:hAnsi="Palatino Linotype" w:cs="Arial"/>
                <w:sz w:val="22"/>
                <w:szCs w:val="22"/>
                <w:lang w:val="en-IN" w:eastAsia="en-IN" w:bidi="hi-IN"/>
              </w:rPr>
            </w:pPr>
            <w:r w:rsidRPr="00DF79C0">
              <w:rPr>
                <w:rFonts w:ascii="Palatino Linotype" w:hAnsi="Palatino Linotype" w:cs="Arial"/>
                <w:sz w:val="22"/>
                <w:szCs w:val="22"/>
                <w:lang w:val="en-IN" w:eastAsia="en-IN" w:bidi="hi-IN"/>
              </w:rPr>
              <w:t>Regulation 15(1) and Regulation 17 of IA Regulations</w:t>
            </w:r>
          </w:p>
          <w:p w:rsidR="00C21F0D" w:rsidRPr="00DF79C0" w:rsidRDefault="00C21F0D" w:rsidP="00C21F0D">
            <w:pPr>
              <w:rPr>
                <w:rFonts w:ascii="Palatino Linotype" w:hAnsi="Palatino Linotype" w:cs="Arial"/>
                <w:sz w:val="22"/>
                <w:szCs w:val="22"/>
                <w:lang w:val="en-IN" w:eastAsia="en-IN" w:bidi="hi-IN"/>
              </w:rPr>
            </w:pPr>
          </w:p>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Section 12A(a), (b), (c) of SEBI Act, 1992.</w:t>
            </w:r>
          </w:p>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 xml:space="preserve"> </w:t>
            </w:r>
          </w:p>
          <w:p w:rsidR="00C21F0D" w:rsidRPr="00DF79C0" w:rsidRDefault="00C21F0D" w:rsidP="00C21F0D">
            <w:pPr>
              <w:shd w:val="clear" w:color="auto" w:fill="FFFFFF"/>
              <w:rPr>
                <w:rFonts w:ascii="Palatino Linotype" w:eastAsia="Calibri" w:hAnsi="Palatino Linotype"/>
                <w:sz w:val="22"/>
                <w:szCs w:val="22"/>
                <w:shd w:val="clear" w:color="auto" w:fill="FFFFFF"/>
                <w:lang w:val="en-IN"/>
              </w:rPr>
            </w:pPr>
            <w:r w:rsidRPr="00DF79C0">
              <w:rPr>
                <w:rFonts w:ascii="Palatino Linotype" w:hAnsi="Palatino Linotype"/>
                <w:sz w:val="22"/>
                <w:szCs w:val="22"/>
                <w:lang w:val="en-IN" w:eastAsia="en-IN"/>
              </w:rPr>
              <w:t>Regulations 3 (a), (b), (c) and (d) of PFUTP</w:t>
            </w:r>
          </w:p>
          <w:p w:rsidR="00C21F0D" w:rsidRPr="00DF79C0" w:rsidRDefault="00C21F0D" w:rsidP="00C21F0D">
            <w:pPr>
              <w:shd w:val="clear" w:color="auto" w:fill="FFFFFF"/>
              <w:rPr>
                <w:rFonts w:ascii="Palatino Linotype" w:hAnsi="Palatino Linotype"/>
                <w:sz w:val="22"/>
                <w:szCs w:val="22"/>
                <w:lang w:val="en-IN" w:eastAsia="en-IN"/>
              </w:rPr>
            </w:pPr>
            <w:r w:rsidRPr="00DF79C0">
              <w:rPr>
                <w:rFonts w:ascii="Palatino Linotype" w:hAnsi="Palatino Linotype"/>
                <w:sz w:val="22"/>
                <w:szCs w:val="22"/>
                <w:lang w:val="en-IN" w:eastAsia="en-IN"/>
              </w:rPr>
              <w:t xml:space="preserve">Regulations. </w:t>
            </w:r>
          </w:p>
          <w:p w:rsidR="00C21F0D" w:rsidRPr="00DF79C0"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numPr>
                <w:ilvl w:val="0"/>
                <w:numId w:val="24"/>
              </w:numPr>
              <w:spacing w:after="160" w:line="259" w:lineRule="auto"/>
              <w:contextualSpacing/>
              <w:jc w:val="right"/>
              <w:rPr>
                <w:rFonts w:ascii="Palatino Linotype" w:eastAsia="Calibri" w:hAnsi="Palatino Linotype"/>
                <w:sz w:val="22"/>
                <w:szCs w:val="22"/>
                <w:lang w:val="en-IN"/>
              </w:rPr>
            </w:pPr>
          </w:p>
        </w:tc>
      </w:tr>
      <w:tr w:rsidR="00C21F0D" w:rsidRPr="00A538EB" w:rsidTr="00C21F0D">
        <w:trPr>
          <w:trHeight w:val="300"/>
        </w:trPr>
        <w:tc>
          <w:tcPr>
            <w:tcW w:w="567" w:type="dxa"/>
            <w:tcBorders>
              <w:top w:val="single" w:sz="4" w:space="0" w:color="auto"/>
              <w:left w:val="single" w:sz="4" w:space="0" w:color="auto"/>
              <w:bottom w:val="single" w:sz="4" w:space="0" w:color="auto"/>
              <w:right w:val="single" w:sz="4" w:space="0" w:color="auto"/>
            </w:tcBorders>
          </w:tcPr>
          <w:p w:rsidR="00C21F0D" w:rsidRPr="00DF79C0" w:rsidRDefault="00DF79C0" w:rsidP="00C21F0D">
            <w:pPr>
              <w:rPr>
                <w:rFonts w:ascii="Palatino Linotype" w:eastAsia="Calibri" w:hAnsi="Palatino Linotype"/>
                <w:sz w:val="22"/>
                <w:szCs w:val="22"/>
                <w:lang w:bidi="hi-IN"/>
              </w:rPr>
            </w:pPr>
            <w:r>
              <w:rPr>
                <w:rFonts w:ascii="Palatino Linotype" w:eastAsia="Calibri" w:hAnsi="Palatino Linotype"/>
                <w:sz w:val="22"/>
                <w:szCs w:val="22"/>
                <w:lang w:bidi="hi-IN"/>
              </w:rPr>
              <w:t>84</w:t>
            </w:r>
          </w:p>
        </w:tc>
        <w:tc>
          <w:tcPr>
            <w:tcW w:w="1418" w:type="dxa"/>
            <w:tcBorders>
              <w:top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lang w:val="en-IN"/>
              </w:rPr>
            </w:pPr>
            <w:r w:rsidRPr="00DF79C0">
              <w:rPr>
                <w:rFonts w:ascii="Palatino Linotype" w:eastAsia="Calibri" w:hAnsi="Palatino Linotype"/>
                <w:sz w:val="22"/>
                <w:szCs w:val="22"/>
                <w:lang w:val="en-IN"/>
              </w:rPr>
              <w:t>31/03/2021</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shd w:val="clear" w:color="auto" w:fill="FFFFFF"/>
                <w:lang w:val="en-IN"/>
              </w:rPr>
            </w:pPr>
            <w:r w:rsidRPr="00DF79C0">
              <w:rPr>
                <w:rFonts w:ascii="Palatino Linotype" w:eastAsia="Calibri" w:hAnsi="Palatino Linotype"/>
                <w:sz w:val="22"/>
                <w:szCs w:val="22"/>
                <w:shd w:val="clear" w:color="auto" w:fill="FFFFFF"/>
                <w:lang w:val="en-IN"/>
              </w:rPr>
              <w:t>Sitaram Maharaj Sakhar Karkhana</w:t>
            </w:r>
          </w:p>
        </w:tc>
        <w:tc>
          <w:tcPr>
            <w:tcW w:w="1418"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shd w:val="clear" w:color="auto" w:fill="FFFFFF"/>
                <w:lang w:val="en-IN"/>
              </w:rPr>
            </w:pPr>
            <w:r w:rsidRPr="00DF79C0">
              <w:rPr>
                <w:rFonts w:ascii="Palatino Linotype" w:eastAsia="Calibri" w:hAnsi="Palatino Linotype"/>
                <w:sz w:val="22"/>
                <w:szCs w:val="22"/>
                <w:shd w:val="clear" w:color="auto" w:fill="FFFFFF"/>
                <w:lang w:val="en-IN"/>
              </w:rPr>
              <w:t>11B</w:t>
            </w:r>
          </w:p>
        </w:tc>
        <w:tc>
          <w:tcPr>
            <w:tcW w:w="2126"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rPr>
                <w:rFonts w:ascii="Palatino Linotype" w:eastAsia="Calibri" w:hAnsi="Palatino Linotype"/>
                <w:sz w:val="22"/>
                <w:szCs w:val="22"/>
                <w:lang w:val="en-IN"/>
              </w:rPr>
            </w:pPr>
            <w:r w:rsidRPr="00DF79C0">
              <w:rPr>
                <w:rFonts w:ascii="Palatino Linotype" w:eastAsia="Calibri" w:hAnsi="Palatino Linotype"/>
                <w:sz w:val="22"/>
                <w:szCs w:val="22"/>
                <w:shd w:val="clear" w:color="auto" w:fill="FFFFFF"/>
                <w:lang w:val="en-IN"/>
              </w:rPr>
              <w:t>Sitaram Maharaj Sakhar Karkhana and its Directors</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C21F0D" w:rsidRPr="00DF79C0" w:rsidRDefault="00C21F0D" w:rsidP="00C21F0D">
            <w:pPr>
              <w:jc w:val="both"/>
              <w:rPr>
                <w:rFonts w:ascii="Palatino Linotype" w:hAnsi="Palatino Linotype"/>
                <w:sz w:val="22"/>
                <w:szCs w:val="22"/>
                <w:lang w:val="en-IN" w:eastAsia="en-IN" w:bidi="hi-IN"/>
              </w:rPr>
            </w:pPr>
            <w:r w:rsidRPr="00DF79C0">
              <w:rPr>
                <w:rFonts w:ascii="Palatino Linotype" w:hAnsi="Palatino Linotype"/>
                <w:sz w:val="22"/>
                <w:szCs w:val="22"/>
                <w:lang w:val="en-IN" w:eastAsia="en-IN"/>
              </w:rPr>
              <w:t xml:space="preserve">Ex-Parte ad-Interim Order cum Show Cause notice for violation of provisions of SEBI </w:t>
            </w:r>
            <w:r w:rsidRPr="00DF79C0">
              <w:rPr>
                <w:rFonts w:ascii="Palatino Linotype" w:hAnsi="Palatino Linotype"/>
                <w:sz w:val="22"/>
                <w:szCs w:val="22"/>
                <w:lang w:val="en-IN" w:eastAsia="en-IN" w:bidi="hi-IN"/>
              </w:rPr>
              <w:t xml:space="preserve">(Issue and </w:t>
            </w:r>
          </w:p>
          <w:p w:rsidR="00C21F0D" w:rsidRPr="00DF79C0" w:rsidRDefault="00C21F0D" w:rsidP="00C21F0D">
            <w:pPr>
              <w:jc w:val="both"/>
              <w:rPr>
                <w:rFonts w:ascii="Palatino Linotype" w:hAnsi="Palatino Linotype"/>
                <w:sz w:val="22"/>
                <w:szCs w:val="22"/>
                <w:lang w:val="en-IN" w:eastAsia="en-IN" w:bidi="hi-IN"/>
              </w:rPr>
            </w:pPr>
            <w:r w:rsidRPr="00DF79C0">
              <w:rPr>
                <w:rFonts w:ascii="Palatino Linotype" w:hAnsi="Palatino Linotype"/>
                <w:sz w:val="22"/>
                <w:szCs w:val="22"/>
                <w:lang w:val="en-IN" w:eastAsia="en-IN" w:bidi="hi-IN"/>
              </w:rPr>
              <w:t>Listing of Non-Convertible Redeemable Preference Shares) Regulations, 2013</w:t>
            </w:r>
          </w:p>
          <w:p w:rsidR="00C21F0D" w:rsidRPr="00DF79C0" w:rsidRDefault="00C21F0D" w:rsidP="00C21F0D">
            <w:pPr>
              <w:shd w:val="clear" w:color="auto" w:fill="FFFFFF"/>
              <w:rPr>
                <w:rFonts w:ascii="Palatino Linotype" w:hAnsi="Palatino Linotype"/>
                <w:sz w:val="22"/>
                <w:szCs w:val="22"/>
                <w:lang w:val="en-IN" w:eastAsia="en-IN"/>
              </w:rPr>
            </w:pPr>
          </w:p>
        </w:tc>
        <w:tc>
          <w:tcPr>
            <w:tcW w:w="1559" w:type="dxa"/>
            <w:tcBorders>
              <w:top w:val="single" w:sz="4" w:space="0" w:color="auto"/>
              <w:left w:val="single" w:sz="4" w:space="0" w:color="auto"/>
              <w:bottom w:val="single" w:sz="4" w:space="0" w:color="auto"/>
              <w:right w:val="single" w:sz="4" w:space="0" w:color="auto"/>
            </w:tcBorders>
            <w:shd w:val="clear" w:color="auto" w:fill="auto"/>
            <w:noWrap/>
          </w:tcPr>
          <w:p w:rsidR="00C21F0D" w:rsidRPr="00DF79C0" w:rsidRDefault="00C21F0D" w:rsidP="00C21F0D">
            <w:pPr>
              <w:numPr>
                <w:ilvl w:val="0"/>
                <w:numId w:val="24"/>
              </w:numPr>
              <w:spacing w:after="160" w:line="259" w:lineRule="auto"/>
              <w:contextualSpacing/>
              <w:jc w:val="right"/>
              <w:rPr>
                <w:rFonts w:ascii="Palatino Linotype" w:eastAsia="Calibri" w:hAnsi="Palatino Linotype"/>
                <w:sz w:val="22"/>
                <w:szCs w:val="22"/>
                <w:lang w:val="en-IN"/>
              </w:rPr>
            </w:pPr>
          </w:p>
        </w:tc>
      </w:tr>
    </w:tbl>
    <w:p w:rsidR="00272724" w:rsidRDefault="00272724" w:rsidP="00272724">
      <w:pPr>
        <w:pStyle w:val="ListParagraph"/>
        <w:rPr>
          <w:rFonts w:ascii="Garamond" w:hAnsi="Garamond"/>
          <w:sz w:val="24"/>
          <w:szCs w:val="24"/>
        </w:rPr>
      </w:pPr>
    </w:p>
    <w:p w:rsidR="00272724" w:rsidRPr="00E71481" w:rsidRDefault="00272724" w:rsidP="00272724">
      <w:pPr>
        <w:spacing w:after="120"/>
        <w:rPr>
          <w:rFonts w:ascii="Garamond" w:hAnsi="Garamond"/>
          <w:i/>
          <w:color w:val="0000FF"/>
          <w:sz w:val="18"/>
          <w:u w:val="single"/>
        </w:rPr>
      </w:pPr>
      <w:r>
        <w:rPr>
          <w:rFonts w:ascii="Garamond" w:hAnsi="Garamond" w:cs="Arial"/>
          <w:i/>
          <w:szCs w:val="32"/>
        </w:rPr>
        <w:t xml:space="preserve">Disclaimer: </w:t>
      </w:r>
      <w:r w:rsidR="00D22F0B">
        <w:rPr>
          <w:rFonts w:ascii="Garamond" w:hAnsi="Garamond" w:cs="Arial"/>
          <w:i/>
          <w:szCs w:val="32"/>
        </w:rPr>
        <w:t xml:space="preserve">Regulatory actions consist of orders passed by Whole Time Member/Adjudication Officer.  Please refer SEBI website for exhaustive list.  </w:t>
      </w:r>
      <w:r>
        <w:rPr>
          <w:rFonts w:ascii="Garamond" w:hAnsi="Garamond" w:cs="Arial"/>
          <w:i/>
          <w:szCs w:val="32"/>
        </w:rPr>
        <w:t>The summary has been prepared for the convenience of readers. In case of any ambiguity, please refer to the original order</w:t>
      </w:r>
      <w:r w:rsidRPr="00E71481">
        <w:rPr>
          <w:rFonts w:ascii="Garamond" w:hAnsi="Garamond" w:cs="Arial"/>
          <w:i/>
          <w:szCs w:val="32"/>
        </w:rPr>
        <w:t>.</w:t>
      </w:r>
    </w:p>
    <w:p w:rsidR="00272724" w:rsidRPr="006F32FA" w:rsidRDefault="00272724" w:rsidP="00272724">
      <w:pPr>
        <w:spacing w:after="120"/>
        <w:rPr>
          <w:rStyle w:val="Hyperlink"/>
          <w:rFonts w:ascii="Garamond" w:hAnsi="Garamond"/>
          <w:i/>
          <w:sz w:val="18"/>
        </w:rPr>
      </w:pPr>
    </w:p>
    <w:p w:rsidR="006F32FA" w:rsidRPr="006F32FA" w:rsidRDefault="006F32FA" w:rsidP="00272724">
      <w:pPr>
        <w:shd w:val="clear" w:color="auto" w:fill="FFFFFF"/>
        <w:spacing w:line="276" w:lineRule="auto"/>
        <w:jc w:val="both"/>
        <w:textAlignment w:val="baseline"/>
        <w:rPr>
          <w:rStyle w:val="Hyperlink"/>
          <w:rFonts w:ascii="Garamond" w:hAnsi="Garamond"/>
          <w:i/>
          <w:sz w:val="18"/>
        </w:rPr>
      </w:pPr>
    </w:p>
    <w:sectPr w:rsidR="006F32FA" w:rsidRPr="006F32FA" w:rsidSect="00332F86">
      <w:headerReference w:type="even" r:id="rId47"/>
      <w:headerReference w:type="default" r:id="rId48"/>
      <w:footerReference w:type="even" r:id="rId49"/>
      <w:footerReference w:type="default" r:id="rId50"/>
      <w:pgSz w:w="11906" w:h="16838" w:code="9"/>
      <w:pgMar w:top="578" w:right="1009" w:bottom="578" w:left="1009" w:header="431" w:footer="431"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16D2" w:rsidRDefault="003B16D2" w:rsidP="00E07645">
      <w:r>
        <w:separator/>
      </w:r>
    </w:p>
  </w:endnote>
  <w:endnote w:type="continuationSeparator" w:id="0">
    <w:p w:rsidR="003B16D2" w:rsidRDefault="003B16D2" w:rsidP="00E076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10002FF" w:usb1="4000ACFF" w:usb2="00000009" w:usb3="00000000" w:csb0="0000019F" w:csb1="00000000"/>
  </w:font>
  <w:font w:name="Palatino Linotype">
    <w:panose1 w:val="02040502050505030304"/>
    <w:charset w:val="00"/>
    <w:family w:val="roman"/>
    <w:pitch w:val="variable"/>
    <w:sig w:usb0="E0000287" w:usb1="40000013" w:usb2="00000000" w:usb3="00000000" w:csb0="0000019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Vrinda">
    <w:panose1 w:val="020B0502040204020203"/>
    <w:charset w:val="00"/>
    <w:family w:val="swiss"/>
    <w:pitch w:val="variable"/>
    <w:sig w:usb0="0001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WCDV-Prakash">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Mangal">
    <w:panose1 w:val="02040503050203030202"/>
    <w:charset w:val="00"/>
    <w:family w:val="roman"/>
    <w:pitch w:val="variable"/>
    <w:sig w:usb0="00008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Rupee">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A17" w:rsidRDefault="00A12A17">
    <w:pPr>
      <w:pStyle w:val="Footer"/>
    </w:pPr>
  </w:p>
  <w:p w:rsidR="00A12A17" w:rsidRDefault="00A12A17"/>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A17" w:rsidRDefault="00A12A17" w:rsidP="00C02A9E">
    <w:pPr>
      <w:pStyle w:val="Footer"/>
      <w:pBdr>
        <w:top w:val="single" w:sz="4" w:space="1" w:color="D9D9D9"/>
      </w:pBdr>
      <w:jc w:val="right"/>
    </w:pPr>
    <w:r>
      <w:fldChar w:fldCharType="begin"/>
    </w:r>
    <w:r>
      <w:instrText xml:space="preserve"> PAGE   \* MERGEFORMAT </w:instrText>
    </w:r>
    <w:r>
      <w:fldChar w:fldCharType="separate"/>
    </w:r>
    <w:r w:rsidR="00570AC0">
      <w:rPr>
        <w:noProof/>
      </w:rPr>
      <w:t>20</w:t>
    </w:r>
    <w:r>
      <w:rPr>
        <w:noProof/>
      </w:rPr>
      <w:fldChar w:fldCharType="end"/>
    </w:r>
    <w:r>
      <w:t xml:space="preserve"> | </w:t>
    </w:r>
    <w:r w:rsidRPr="00601592">
      <w:rPr>
        <w:color w:val="7F7F7F"/>
        <w:spacing w:val="60"/>
      </w:rPr>
      <w:t>Page</w:t>
    </w:r>
  </w:p>
  <w:p w:rsidR="00A12A17" w:rsidRDefault="00A12A17">
    <w:pPr>
      <w:pStyle w:val="Footer"/>
    </w:pPr>
  </w:p>
  <w:p w:rsidR="00A12A17" w:rsidRDefault="00A12A17"/>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2" w:rsidRDefault="003B16D2">
    <w:pPr>
      <w:pStyle w:val="Footer"/>
    </w:pPr>
  </w:p>
  <w:p w:rsidR="003B16D2" w:rsidRDefault="003B16D2"/>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05008751"/>
      <w:docPartObj>
        <w:docPartGallery w:val="Page Numbers (Bottom of Page)"/>
        <w:docPartUnique/>
      </w:docPartObj>
    </w:sdtPr>
    <w:sdtEndPr>
      <w:rPr>
        <w:color w:val="7F7F7F" w:themeColor="background1" w:themeShade="7F"/>
        <w:spacing w:val="60"/>
      </w:rPr>
    </w:sdtEndPr>
    <w:sdtContent>
      <w:p w:rsidR="003B16D2" w:rsidRDefault="003B16D2">
        <w:pPr>
          <w:pStyle w:val="Footer"/>
          <w:pBdr>
            <w:top w:val="single" w:sz="4" w:space="1" w:color="D9D9D9" w:themeColor="background1" w:themeShade="D9"/>
          </w:pBdr>
          <w:jc w:val="right"/>
        </w:pPr>
        <w:r>
          <w:fldChar w:fldCharType="begin"/>
        </w:r>
        <w:r>
          <w:instrText xml:space="preserve"> PAGE   \* MERGEFORMAT </w:instrText>
        </w:r>
        <w:r>
          <w:fldChar w:fldCharType="separate"/>
        </w:r>
        <w:r w:rsidR="001755DE">
          <w:rPr>
            <w:noProof/>
          </w:rPr>
          <w:t>29</w:t>
        </w:r>
        <w:r>
          <w:rPr>
            <w:noProof/>
          </w:rPr>
          <w:fldChar w:fldCharType="end"/>
        </w:r>
        <w:r>
          <w:t xml:space="preserve"> | </w:t>
        </w:r>
        <w:r>
          <w:rPr>
            <w:color w:val="7F7F7F" w:themeColor="background1" w:themeShade="7F"/>
            <w:spacing w:val="60"/>
          </w:rPr>
          <w:t>Page</w:t>
        </w:r>
      </w:p>
    </w:sdtContent>
  </w:sdt>
  <w:p w:rsidR="003B16D2" w:rsidRDefault="003B16D2">
    <w:pPr>
      <w:pStyle w:val="Footer"/>
    </w:pPr>
  </w:p>
  <w:p w:rsidR="003B16D2" w:rsidRDefault="003B16D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16D2" w:rsidRDefault="003B16D2" w:rsidP="00E07645">
      <w:r>
        <w:separator/>
      </w:r>
    </w:p>
  </w:footnote>
  <w:footnote w:type="continuationSeparator" w:id="0">
    <w:p w:rsidR="003B16D2" w:rsidRDefault="003B16D2" w:rsidP="00E07645">
      <w:r>
        <w:continuationSeparator/>
      </w:r>
    </w:p>
  </w:footnote>
  <w:footnote w:id="1">
    <w:p w:rsidR="001755DE" w:rsidRPr="005B5517" w:rsidRDefault="001755DE" w:rsidP="001755DE">
      <w:pPr>
        <w:pStyle w:val="FootnoteText"/>
        <w:rPr>
          <w:rFonts w:ascii="Palatino Linotype" w:hAnsi="Palatino Linotype"/>
          <w:i/>
          <w:lang w:val="en-IN"/>
        </w:rPr>
      </w:pPr>
      <w:r w:rsidRPr="005B5517">
        <w:rPr>
          <w:rStyle w:val="FootnoteReference"/>
          <w:rFonts w:ascii="Palatino Linotype" w:hAnsi="Palatino Linotype"/>
          <w:i/>
        </w:rPr>
        <w:footnoteRef/>
      </w:r>
      <w:r w:rsidRPr="005B5517">
        <w:rPr>
          <w:rFonts w:ascii="Palatino Linotype" w:hAnsi="Palatino Linotype"/>
          <w:i/>
        </w:rPr>
        <w:t xml:space="preserve"> In case of close ended schemes, at the time of maturity, AMC repurchases it units.</w:t>
      </w:r>
    </w:p>
  </w:footnote>
  <w:footnote w:id="2">
    <w:p w:rsidR="00A12A17" w:rsidRDefault="00A12A17" w:rsidP="00A12A17">
      <w:pPr>
        <w:pStyle w:val="FootnoteText"/>
      </w:pPr>
      <w:r>
        <w:rPr>
          <w:rStyle w:val="FootnoteReference"/>
        </w:rPr>
        <w:footnoteRef/>
      </w:r>
      <w:r>
        <w:t xml:space="preserve"> Based on data available on World Federation of Exchanges as on 12 April 2021. BSE data from WFE has not been included as BSE is no longer providing data to WFE since June 2019.</w:t>
      </w:r>
    </w:p>
  </w:footnote>
  <w:footnote w:id="3">
    <w:p w:rsidR="00A12A17" w:rsidRDefault="00A12A17" w:rsidP="00A12A17">
      <w:pPr>
        <w:pStyle w:val="FootnoteText"/>
      </w:pPr>
      <w:r>
        <w:rPr>
          <w:rStyle w:val="FootnoteReference"/>
        </w:rPr>
        <w:footnoteRef/>
      </w:r>
      <w:r>
        <w:t xml:space="preserve"> </w:t>
      </w:r>
      <w:r w:rsidRPr="000D159E">
        <w:t>Brazil, Russia, India, India, China, South Africa, USA, USA, France, Germany, UK, Hong Kong</w:t>
      </w:r>
      <w:r>
        <w:t>, South Korea, Japan, Singapore and</w:t>
      </w:r>
      <w:r w:rsidRPr="000D159E">
        <w:t xml:space="preserve"> Taiwan</w:t>
      </w:r>
    </w:p>
  </w:footnote>
  <w:footnote w:id="4">
    <w:p w:rsidR="00A12A17" w:rsidRDefault="00A12A17" w:rsidP="00A12A17">
      <w:pPr>
        <w:pStyle w:val="FootnoteText"/>
      </w:pPr>
      <w:r>
        <w:rPr>
          <w:rStyle w:val="FootnoteReference"/>
        </w:rPr>
        <w:footnoteRef/>
      </w:r>
      <w:r>
        <w:t xml:space="preserve"> Germany, Spain, USA, UK, Japan, India, China, Brazil and Russia.</w:t>
      </w:r>
    </w:p>
  </w:footnote>
  <w:footnote w:id="5">
    <w:p w:rsidR="00A12A17" w:rsidRDefault="00A12A17" w:rsidP="00A12A17">
      <w:pPr>
        <w:pStyle w:val="FootnoteText"/>
      </w:pPr>
      <w:r>
        <w:rPr>
          <w:rStyle w:val="FootnoteReference"/>
        </w:rPr>
        <w:footnoteRef/>
      </w:r>
      <w:r>
        <w:t xml:space="preserve"> Data available on as on 12 April 2021 on WFE as submitted by exchanges which are members of WFE,</w:t>
      </w:r>
    </w:p>
  </w:footnote>
  <w:footnote w:id="6">
    <w:p w:rsidR="00A12A17" w:rsidRDefault="00A12A17" w:rsidP="00A12A17">
      <w:pPr>
        <w:pStyle w:val="FootnoteText"/>
      </w:pPr>
      <w:r>
        <w:rPr>
          <w:rStyle w:val="FootnoteReference"/>
        </w:rPr>
        <w:footnoteRef/>
      </w:r>
      <w:r>
        <w:t xml:space="preserve"> USA, UK, Germany, France, Japan, Singapore, Hong Kong, China, Russia, India, S. Korea and Australia.</w:t>
      </w:r>
    </w:p>
  </w:footnote>
  <w:footnote w:id="7">
    <w:p w:rsidR="00A12A17" w:rsidRDefault="00A12A17" w:rsidP="00A12A17">
      <w:pPr>
        <w:pStyle w:val="FootnoteText"/>
      </w:pPr>
      <w:r>
        <w:rPr>
          <w:rStyle w:val="FootnoteReference"/>
        </w:rPr>
        <w:footnoteRef/>
      </w:r>
      <w:r>
        <w:t xml:space="preserve"> </w:t>
      </w:r>
      <w:r w:rsidRPr="003D2887">
        <w:t>Real, Rouble, Rupee, Renminbi, Rand, Won, Pound, Euro, Yen, Franc</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A17" w:rsidRDefault="00A12A17">
    <w:pPr>
      <w:pStyle w:val="Header"/>
    </w:pPr>
  </w:p>
  <w:p w:rsidR="00A12A17" w:rsidRDefault="00A12A17"/>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12A17" w:rsidRDefault="00A12A17">
    <w:pPr>
      <w:pStyle w:val="Header"/>
    </w:pPr>
    <w:r>
      <w:rPr>
        <w:noProof/>
        <w:lang w:val="en-IN" w:eastAsia="en-IN" w:bidi="hi-I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expertsource_watermark" o:spid="_x0000_s4100" type="#_x0000_t136" style="position:absolute;margin-left:0;margin-top:0;width:406.1pt;height:270.7pt;rotation:315;z-index:251659264;mso-position-horizontal:center;mso-position-horizontal-relative:margin;mso-position-vertical:center;mso-position-vertical-relative:margin" fillcolor="silver" stroked="f">
          <v:fill opacity=".5"/>
          <v:stroke r:id="rId1" o:title=""/>
          <v:shadow color="#868686"/>
          <v:textpath style="font-family:&quot;Times New Roman&quot;;font-size:1pt;v-text-kern:t" trim="t" fitpath="t" string="   "/>
          <o:lock v:ext="edit" aspectratio="t"/>
        </v:shape>
      </w:pict>
    </w:r>
  </w:p>
  <w:p w:rsidR="00A12A17" w:rsidRDefault="00A12A17"/>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2" w:rsidRDefault="003B16D2">
    <w:pPr>
      <w:pStyle w:val="Header"/>
    </w:pPr>
  </w:p>
  <w:p w:rsidR="003B16D2" w:rsidRDefault="003B16D2"/>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16D2" w:rsidRDefault="003B16D2">
    <w:pPr>
      <w:pStyle w:val="Header"/>
    </w:pPr>
  </w:p>
  <w:p w:rsidR="003B16D2" w:rsidRDefault="003B16D2"/>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0000019"/>
    <w:multiLevelType w:val="multilevel"/>
    <w:tmpl w:val="396D53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000022"/>
    <w:multiLevelType w:val="multilevel"/>
    <w:tmpl w:val="4FE373B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0000023"/>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000002C"/>
    <w:multiLevelType w:val="hybridMultilevel"/>
    <w:tmpl w:val="EEA0001C"/>
    <w:lvl w:ilvl="0" w:tplc="40090001">
      <w:start w:val="1"/>
      <w:numFmt w:val="bullet"/>
      <w:lvlText w:val=""/>
      <w:lvlJc w:val="left"/>
      <w:pPr>
        <w:ind w:left="720" w:hanging="360"/>
      </w:pPr>
      <w:rPr>
        <w:rFonts w:ascii="Symbol" w:hAnsi="Symbol"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047939D9"/>
    <w:multiLevelType w:val="multilevel"/>
    <w:tmpl w:val="11E00ED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9C45371"/>
    <w:multiLevelType w:val="multilevel"/>
    <w:tmpl w:val="9B824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FFD16E1"/>
    <w:multiLevelType w:val="multilevel"/>
    <w:tmpl w:val="B800761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19F24B6"/>
    <w:multiLevelType w:val="hybridMultilevel"/>
    <w:tmpl w:val="D6144B70"/>
    <w:lvl w:ilvl="0" w:tplc="D73CC0F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9F384B"/>
    <w:multiLevelType w:val="hybridMultilevel"/>
    <w:tmpl w:val="CD7CC59E"/>
    <w:lvl w:ilvl="0" w:tplc="09765F1A">
      <w:start w:val="1"/>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18193A3E"/>
    <w:multiLevelType w:val="hybridMultilevel"/>
    <w:tmpl w:val="40AC50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18F760C0"/>
    <w:multiLevelType w:val="multilevel"/>
    <w:tmpl w:val="C93809D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2" w15:restartNumberingAfterBreak="0">
    <w:nsid w:val="195331BD"/>
    <w:multiLevelType w:val="hybridMultilevel"/>
    <w:tmpl w:val="61067A92"/>
    <w:lvl w:ilvl="0" w:tplc="A2BA30FC">
      <w:start w:val="1"/>
      <w:numFmt w:val="bullet"/>
      <w:lvlText w:val=""/>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BE427DF"/>
    <w:multiLevelType w:val="multilevel"/>
    <w:tmpl w:val="50477FA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1C757149"/>
    <w:multiLevelType w:val="hybridMultilevel"/>
    <w:tmpl w:val="5072A27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1CB45C15"/>
    <w:multiLevelType w:val="hybridMultilevel"/>
    <w:tmpl w:val="26D0858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21420D67"/>
    <w:multiLevelType w:val="multilevel"/>
    <w:tmpl w:val="B7105E1C"/>
    <w:lvl w:ilvl="0">
      <w:start w:val="1"/>
      <w:numFmt w:val="upperLetter"/>
      <w:lvlText w:val="%1."/>
      <w:lvlJc w:val="left"/>
      <w:pPr>
        <w:ind w:left="360" w:hanging="360"/>
      </w:pPr>
      <w:rPr>
        <w:color w:val="000000"/>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7" w15:restartNumberingAfterBreak="0">
    <w:nsid w:val="21920F00"/>
    <w:multiLevelType w:val="hybridMultilevel"/>
    <w:tmpl w:val="9968AB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2F010AE"/>
    <w:multiLevelType w:val="hybridMultilevel"/>
    <w:tmpl w:val="48F8C13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2FC48A6"/>
    <w:multiLevelType w:val="hybridMultilevel"/>
    <w:tmpl w:val="AACCC50C"/>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9DE67C3"/>
    <w:multiLevelType w:val="hybridMultilevel"/>
    <w:tmpl w:val="DB027F34"/>
    <w:lvl w:ilvl="0" w:tplc="40090001">
      <w:start w:val="1"/>
      <w:numFmt w:val="bullet"/>
      <w:lvlText w:val=""/>
      <w:lvlJc w:val="left"/>
      <w:pPr>
        <w:ind w:left="775" w:hanging="360"/>
      </w:pPr>
      <w:rPr>
        <w:rFonts w:ascii="Symbol" w:hAnsi="Symbol" w:hint="default"/>
      </w:rPr>
    </w:lvl>
    <w:lvl w:ilvl="1" w:tplc="40090003" w:tentative="1">
      <w:start w:val="1"/>
      <w:numFmt w:val="bullet"/>
      <w:lvlText w:val="o"/>
      <w:lvlJc w:val="left"/>
      <w:pPr>
        <w:ind w:left="1495" w:hanging="360"/>
      </w:pPr>
      <w:rPr>
        <w:rFonts w:ascii="Courier New" w:hAnsi="Courier New" w:cs="Courier New" w:hint="default"/>
      </w:rPr>
    </w:lvl>
    <w:lvl w:ilvl="2" w:tplc="40090005" w:tentative="1">
      <w:start w:val="1"/>
      <w:numFmt w:val="bullet"/>
      <w:lvlText w:val=""/>
      <w:lvlJc w:val="left"/>
      <w:pPr>
        <w:ind w:left="2215" w:hanging="360"/>
      </w:pPr>
      <w:rPr>
        <w:rFonts w:ascii="Wingdings" w:hAnsi="Wingdings" w:hint="default"/>
      </w:rPr>
    </w:lvl>
    <w:lvl w:ilvl="3" w:tplc="40090001" w:tentative="1">
      <w:start w:val="1"/>
      <w:numFmt w:val="bullet"/>
      <w:lvlText w:val=""/>
      <w:lvlJc w:val="left"/>
      <w:pPr>
        <w:ind w:left="2935" w:hanging="360"/>
      </w:pPr>
      <w:rPr>
        <w:rFonts w:ascii="Symbol" w:hAnsi="Symbol" w:hint="default"/>
      </w:rPr>
    </w:lvl>
    <w:lvl w:ilvl="4" w:tplc="40090003" w:tentative="1">
      <w:start w:val="1"/>
      <w:numFmt w:val="bullet"/>
      <w:lvlText w:val="o"/>
      <w:lvlJc w:val="left"/>
      <w:pPr>
        <w:ind w:left="3655" w:hanging="360"/>
      </w:pPr>
      <w:rPr>
        <w:rFonts w:ascii="Courier New" w:hAnsi="Courier New" w:cs="Courier New" w:hint="default"/>
      </w:rPr>
    </w:lvl>
    <w:lvl w:ilvl="5" w:tplc="40090005" w:tentative="1">
      <w:start w:val="1"/>
      <w:numFmt w:val="bullet"/>
      <w:lvlText w:val=""/>
      <w:lvlJc w:val="left"/>
      <w:pPr>
        <w:ind w:left="4375" w:hanging="360"/>
      </w:pPr>
      <w:rPr>
        <w:rFonts w:ascii="Wingdings" w:hAnsi="Wingdings" w:hint="default"/>
      </w:rPr>
    </w:lvl>
    <w:lvl w:ilvl="6" w:tplc="40090001" w:tentative="1">
      <w:start w:val="1"/>
      <w:numFmt w:val="bullet"/>
      <w:lvlText w:val=""/>
      <w:lvlJc w:val="left"/>
      <w:pPr>
        <w:ind w:left="5095" w:hanging="360"/>
      </w:pPr>
      <w:rPr>
        <w:rFonts w:ascii="Symbol" w:hAnsi="Symbol" w:hint="default"/>
      </w:rPr>
    </w:lvl>
    <w:lvl w:ilvl="7" w:tplc="40090003" w:tentative="1">
      <w:start w:val="1"/>
      <w:numFmt w:val="bullet"/>
      <w:lvlText w:val="o"/>
      <w:lvlJc w:val="left"/>
      <w:pPr>
        <w:ind w:left="5815" w:hanging="360"/>
      </w:pPr>
      <w:rPr>
        <w:rFonts w:ascii="Courier New" w:hAnsi="Courier New" w:cs="Courier New" w:hint="default"/>
      </w:rPr>
    </w:lvl>
    <w:lvl w:ilvl="8" w:tplc="40090005" w:tentative="1">
      <w:start w:val="1"/>
      <w:numFmt w:val="bullet"/>
      <w:lvlText w:val=""/>
      <w:lvlJc w:val="left"/>
      <w:pPr>
        <w:ind w:left="6535" w:hanging="360"/>
      </w:pPr>
      <w:rPr>
        <w:rFonts w:ascii="Wingdings" w:hAnsi="Wingdings" w:hint="default"/>
      </w:rPr>
    </w:lvl>
  </w:abstractNum>
  <w:abstractNum w:abstractNumId="21" w15:restartNumberingAfterBreak="0">
    <w:nsid w:val="2ACA4421"/>
    <w:multiLevelType w:val="multilevel"/>
    <w:tmpl w:val="DFCE80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2C49255A"/>
    <w:multiLevelType w:val="hybridMultilevel"/>
    <w:tmpl w:val="E850E076"/>
    <w:lvl w:ilvl="0" w:tplc="5AC22932">
      <w:numFmt w:val="bullet"/>
      <w:lvlText w:val=""/>
      <w:lvlJc w:val="left"/>
      <w:pPr>
        <w:ind w:left="1080" w:hanging="360"/>
      </w:pPr>
      <w:rPr>
        <w:rFonts w:ascii="Symbol" w:eastAsia="Palatino Linotype" w:hAnsi="Symbol" w:cs="Palatino Linotype"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3" w15:restartNumberingAfterBreak="0">
    <w:nsid w:val="2EC4521B"/>
    <w:multiLevelType w:val="hybridMultilevel"/>
    <w:tmpl w:val="3C982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FF7518"/>
    <w:multiLevelType w:val="hybridMultilevel"/>
    <w:tmpl w:val="B348728C"/>
    <w:lvl w:ilvl="0" w:tplc="40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5" w15:restartNumberingAfterBreak="0">
    <w:nsid w:val="31764998"/>
    <w:multiLevelType w:val="hybridMultilevel"/>
    <w:tmpl w:val="019647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38321637"/>
    <w:multiLevelType w:val="hybridMultilevel"/>
    <w:tmpl w:val="F14481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3C0F54B8"/>
    <w:multiLevelType w:val="hybridMultilevel"/>
    <w:tmpl w:val="E1F4C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597F73"/>
    <w:multiLevelType w:val="hybridMultilevel"/>
    <w:tmpl w:val="B4C0D452"/>
    <w:lvl w:ilvl="0" w:tplc="FB188760">
      <w:start w:val="1"/>
      <w:numFmt w:val="upperLetter"/>
      <w:lvlText w:val="%1."/>
      <w:lvlJc w:val="left"/>
      <w:pPr>
        <w:ind w:left="720" w:hanging="360"/>
      </w:pPr>
      <w:rPr>
        <w:rFonts w:hint="default"/>
        <w:b/>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439B5C91"/>
    <w:multiLevelType w:val="hybridMultilevel"/>
    <w:tmpl w:val="F2EA9876"/>
    <w:lvl w:ilvl="0" w:tplc="7A30186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3B529E0"/>
    <w:multiLevelType w:val="hybridMultilevel"/>
    <w:tmpl w:val="3F9A40D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1" w15:restartNumberingAfterBreak="0">
    <w:nsid w:val="43D91E62"/>
    <w:multiLevelType w:val="multilevel"/>
    <w:tmpl w:val="8174CB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2" w15:restartNumberingAfterBreak="0">
    <w:nsid w:val="46A26950"/>
    <w:multiLevelType w:val="hybridMultilevel"/>
    <w:tmpl w:val="8B9C8214"/>
    <w:lvl w:ilvl="0" w:tplc="F5E02960">
      <w:start w:val="1"/>
      <w:numFmt w:val="decimal"/>
      <w:lvlText w:val="%1."/>
      <w:lvlJc w:val="left"/>
      <w:pPr>
        <w:ind w:left="720" w:hanging="360"/>
      </w:pPr>
      <w:rPr>
        <w:rFonts w:ascii="Garamond" w:hAnsi="Garamond" w:hint="default"/>
        <w:b/>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C826CE1"/>
    <w:multiLevelType w:val="hybridMultilevel"/>
    <w:tmpl w:val="8A901E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5117327E"/>
    <w:multiLevelType w:val="multilevel"/>
    <w:tmpl w:val="97A2ACE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5" w15:restartNumberingAfterBreak="0">
    <w:nsid w:val="51934C4F"/>
    <w:multiLevelType w:val="hybridMultilevel"/>
    <w:tmpl w:val="88629A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6" w15:restartNumberingAfterBreak="0">
    <w:nsid w:val="527B0595"/>
    <w:multiLevelType w:val="hybridMultilevel"/>
    <w:tmpl w:val="9C1AF802"/>
    <w:lvl w:ilvl="0" w:tplc="40090001">
      <w:start w:val="1"/>
      <w:numFmt w:val="bullet"/>
      <w:lvlText w:val=""/>
      <w:lvlJc w:val="left"/>
      <w:pPr>
        <w:ind w:left="1288" w:hanging="360"/>
      </w:pPr>
      <w:rPr>
        <w:rFonts w:ascii="Symbol" w:hAnsi="Symbol" w:hint="default"/>
      </w:rPr>
    </w:lvl>
    <w:lvl w:ilvl="1" w:tplc="40090003" w:tentative="1">
      <w:start w:val="1"/>
      <w:numFmt w:val="bullet"/>
      <w:lvlText w:val="o"/>
      <w:lvlJc w:val="left"/>
      <w:pPr>
        <w:ind w:left="2008" w:hanging="360"/>
      </w:pPr>
      <w:rPr>
        <w:rFonts w:ascii="Courier New" w:hAnsi="Courier New" w:cs="Courier New" w:hint="default"/>
      </w:rPr>
    </w:lvl>
    <w:lvl w:ilvl="2" w:tplc="40090005" w:tentative="1">
      <w:start w:val="1"/>
      <w:numFmt w:val="bullet"/>
      <w:lvlText w:val=""/>
      <w:lvlJc w:val="left"/>
      <w:pPr>
        <w:ind w:left="2728" w:hanging="360"/>
      </w:pPr>
      <w:rPr>
        <w:rFonts w:ascii="Wingdings" w:hAnsi="Wingdings" w:hint="default"/>
      </w:rPr>
    </w:lvl>
    <w:lvl w:ilvl="3" w:tplc="40090001" w:tentative="1">
      <w:start w:val="1"/>
      <w:numFmt w:val="bullet"/>
      <w:lvlText w:val=""/>
      <w:lvlJc w:val="left"/>
      <w:pPr>
        <w:ind w:left="3448" w:hanging="360"/>
      </w:pPr>
      <w:rPr>
        <w:rFonts w:ascii="Symbol" w:hAnsi="Symbol" w:hint="default"/>
      </w:rPr>
    </w:lvl>
    <w:lvl w:ilvl="4" w:tplc="40090003" w:tentative="1">
      <w:start w:val="1"/>
      <w:numFmt w:val="bullet"/>
      <w:lvlText w:val="o"/>
      <w:lvlJc w:val="left"/>
      <w:pPr>
        <w:ind w:left="4168" w:hanging="360"/>
      </w:pPr>
      <w:rPr>
        <w:rFonts w:ascii="Courier New" w:hAnsi="Courier New" w:cs="Courier New" w:hint="default"/>
      </w:rPr>
    </w:lvl>
    <w:lvl w:ilvl="5" w:tplc="40090005" w:tentative="1">
      <w:start w:val="1"/>
      <w:numFmt w:val="bullet"/>
      <w:lvlText w:val=""/>
      <w:lvlJc w:val="left"/>
      <w:pPr>
        <w:ind w:left="4888" w:hanging="360"/>
      </w:pPr>
      <w:rPr>
        <w:rFonts w:ascii="Wingdings" w:hAnsi="Wingdings" w:hint="default"/>
      </w:rPr>
    </w:lvl>
    <w:lvl w:ilvl="6" w:tplc="40090001" w:tentative="1">
      <w:start w:val="1"/>
      <w:numFmt w:val="bullet"/>
      <w:lvlText w:val=""/>
      <w:lvlJc w:val="left"/>
      <w:pPr>
        <w:ind w:left="5608" w:hanging="360"/>
      </w:pPr>
      <w:rPr>
        <w:rFonts w:ascii="Symbol" w:hAnsi="Symbol" w:hint="default"/>
      </w:rPr>
    </w:lvl>
    <w:lvl w:ilvl="7" w:tplc="40090003" w:tentative="1">
      <w:start w:val="1"/>
      <w:numFmt w:val="bullet"/>
      <w:lvlText w:val="o"/>
      <w:lvlJc w:val="left"/>
      <w:pPr>
        <w:ind w:left="6328" w:hanging="360"/>
      </w:pPr>
      <w:rPr>
        <w:rFonts w:ascii="Courier New" w:hAnsi="Courier New" w:cs="Courier New" w:hint="default"/>
      </w:rPr>
    </w:lvl>
    <w:lvl w:ilvl="8" w:tplc="40090005" w:tentative="1">
      <w:start w:val="1"/>
      <w:numFmt w:val="bullet"/>
      <w:lvlText w:val=""/>
      <w:lvlJc w:val="left"/>
      <w:pPr>
        <w:ind w:left="7048" w:hanging="360"/>
      </w:pPr>
      <w:rPr>
        <w:rFonts w:ascii="Wingdings" w:hAnsi="Wingdings" w:hint="default"/>
      </w:rPr>
    </w:lvl>
  </w:abstractNum>
  <w:abstractNum w:abstractNumId="37" w15:restartNumberingAfterBreak="0">
    <w:nsid w:val="584F0F63"/>
    <w:multiLevelType w:val="hybridMultilevel"/>
    <w:tmpl w:val="AAFAB1E2"/>
    <w:lvl w:ilvl="0" w:tplc="702CC1B4">
      <w:start w:val="3"/>
      <w:numFmt w:val="bullet"/>
      <w:lvlText w:val="-"/>
      <w:lvlJc w:val="left"/>
      <w:pPr>
        <w:ind w:left="720" w:hanging="360"/>
      </w:pPr>
      <w:rPr>
        <w:rFonts w:ascii="Calibri" w:eastAsia="Calibri" w:hAnsi="Calibri"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59F84AD1"/>
    <w:multiLevelType w:val="hybridMultilevel"/>
    <w:tmpl w:val="E47C255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9" w15:restartNumberingAfterBreak="0">
    <w:nsid w:val="5A6A4B69"/>
    <w:multiLevelType w:val="multilevel"/>
    <w:tmpl w:val="9AD44F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5B062FF1"/>
    <w:multiLevelType w:val="hybridMultilevel"/>
    <w:tmpl w:val="3F30667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1" w15:restartNumberingAfterBreak="0">
    <w:nsid w:val="5F4E711A"/>
    <w:multiLevelType w:val="multilevel"/>
    <w:tmpl w:val="A6741A6C"/>
    <w:lvl w:ilvl="0">
      <w:start w:val="1"/>
      <w:numFmt w:val="upperRoman"/>
      <w:lvlText w:val="%1."/>
      <w:lvlJc w:val="righ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08F19B9"/>
    <w:multiLevelType w:val="hybridMultilevel"/>
    <w:tmpl w:val="5BB47572"/>
    <w:lvl w:ilvl="0" w:tplc="60A896E6">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61B51D4F"/>
    <w:multiLevelType w:val="hybridMultilevel"/>
    <w:tmpl w:val="18CA798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651D4C42"/>
    <w:multiLevelType w:val="hybridMultilevel"/>
    <w:tmpl w:val="CFA8027E"/>
    <w:lvl w:ilvl="0" w:tplc="16229AE0">
      <w:start w:val="1"/>
      <w:numFmt w:val="decimal"/>
      <w:lvlText w:val="%1."/>
      <w:lvlJc w:val="left"/>
      <w:pPr>
        <w:ind w:left="720" w:hanging="360"/>
      </w:pPr>
      <w:rPr>
        <w:rFonts w:hint="default"/>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67F74141"/>
    <w:multiLevelType w:val="hybridMultilevel"/>
    <w:tmpl w:val="23501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1436DB5"/>
    <w:multiLevelType w:val="hybridMultilevel"/>
    <w:tmpl w:val="51523B68"/>
    <w:lvl w:ilvl="0" w:tplc="40090015">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7" w15:restartNumberingAfterBreak="0">
    <w:nsid w:val="751611DF"/>
    <w:multiLevelType w:val="hybridMultilevel"/>
    <w:tmpl w:val="86F60F2C"/>
    <w:lvl w:ilvl="0" w:tplc="08C847F2">
      <w:start w:val="3"/>
      <w:numFmt w:val="bullet"/>
      <w:lvlText w:val="-"/>
      <w:lvlJc w:val="left"/>
      <w:pPr>
        <w:ind w:left="720" w:hanging="360"/>
      </w:pPr>
      <w:rPr>
        <w:rFonts w:ascii="Times New Roman" w:eastAsia="Calibri"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6"/>
  </w:num>
  <w:num w:numId="2">
    <w:abstractNumId w:val="41"/>
  </w:num>
  <w:num w:numId="3">
    <w:abstractNumId w:val="7"/>
  </w:num>
  <w:num w:numId="4">
    <w:abstractNumId w:val="16"/>
  </w:num>
  <w:num w:numId="5">
    <w:abstractNumId w:val="3"/>
  </w:num>
  <w:num w:numId="6">
    <w:abstractNumId w:val="1"/>
  </w:num>
  <w:num w:numId="7">
    <w:abstractNumId w:val="2"/>
  </w:num>
  <w:num w:numId="8">
    <w:abstractNumId w:val="0"/>
  </w:num>
  <w:num w:numId="9">
    <w:abstractNumId w:val="12"/>
  </w:num>
  <w:num w:numId="10">
    <w:abstractNumId w:val="13"/>
  </w:num>
  <w:num w:numId="11">
    <w:abstractNumId w:val="29"/>
  </w:num>
  <w:num w:numId="12">
    <w:abstractNumId w:val="45"/>
  </w:num>
  <w:num w:numId="13">
    <w:abstractNumId w:val="8"/>
  </w:num>
  <w:num w:numId="14">
    <w:abstractNumId w:val="38"/>
  </w:num>
  <w:num w:numId="15">
    <w:abstractNumId w:val="44"/>
  </w:num>
  <w:num w:numId="16">
    <w:abstractNumId w:val="23"/>
  </w:num>
  <w:num w:numId="17">
    <w:abstractNumId w:val="14"/>
  </w:num>
  <w:num w:numId="18">
    <w:abstractNumId w:val="17"/>
  </w:num>
  <w:num w:numId="19">
    <w:abstractNumId w:val="33"/>
  </w:num>
  <w:num w:numId="20">
    <w:abstractNumId w:val="42"/>
  </w:num>
  <w:num w:numId="21">
    <w:abstractNumId w:val="26"/>
  </w:num>
  <w:num w:numId="22">
    <w:abstractNumId w:val="43"/>
  </w:num>
  <w:num w:numId="23">
    <w:abstractNumId w:val="37"/>
  </w:num>
  <w:num w:numId="24">
    <w:abstractNumId w:val="47"/>
  </w:num>
  <w:num w:numId="25">
    <w:abstractNumId w:val="28"/>
  </w:num>
  <w:num w:numId="26">
    <w:abstractNumId w:val="15"/>
  </w:num>
  <w:num w:numId="27">
    <w:abstractNumId w:val="40"/>
  </w:num>
  <w:num w:numId="28">
    <w:abstractNumId w:val="20"/>
  </w:num>
  <w:num w:numId="29">
    <w:abstractNumId w:val="36"/>
  </w:num>
  <w:num w:numId="30">
    <w:abstractNumId w:val="30"/>
  </w:num>
  <w:num w:numId="31">
    <w:abstractNumId w:val="31"/>
  </w:num>
  <w:num w:numId="32">
    <w:abstractNumId w:val="5"/>
  </w:num>
  <w:num w:numId="33">
    <w:abstractNumId w:val="34"/>
  </w:num>
  <w:num w:numId="34">
    <w:abstractNumId w:val="39"/>
  </w:num>
  <w:num w:numId="35">
    <w:abstractNumId w:val="21"/>
  </w:num>
  <w:num w:numId="36">
    <w:abstractNumId w:val="11"/>
  </w:num>
  <w:num w:numId="37">
    <w:abstractNumId w:val="46"/>
  </w:num>
  <w:num w:numId="38">
    <w:abstractNumId w:val="4"/>
  </w:num>
  <w:num w:numId="39">
    <w:abstractNumId w:val="18"/>
  </w:num>
  <w:num w:numId="40">
    <w:abstractNumId w:val="19"/>
  </w:num>
  <w:num w:numId="41">
    <w:abstractNumId w:val="9"/>
  </w:num>
  <w:num w:numId="42">
    <w:abstractNumId w:val="24"/>
  </w:num>
  <w:num w:numId="43">
    <w:abstractNumId w:val="32"/>
  </w:num>
  <w:num w:numId="44">
    <w:abstractNumId w:val="25"/>
  </w:num>
  <w:num w:numId="45">
    <w:abstractNumId w:val="27"/>
  </w:num>
  <w:num w:numId="46">
    <w:abstractNumId w:val="10"/>
  </w:num>
  <w:num w:numId="47">
    <w:abstractNumId w:val="22"/>
  </w:num>
  <w:num w:numId="48">
    <w:abstractNumId w:val="3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101"/>
    <o:shapelayout v:ext="edit">
      <o:idmap v:ext="edit" data="4"/>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97C"/>
    <w:rsid w:val="00000718"/>
    <w:rsid w:val="00000F02"/>
    <w:rsid w:val="00001102"/>
    <w:rsid w:val="000012F5"/>
    <w:rsid w:val="0000238B"/>
    <w:rsid w:val="00002F15"/>
    <w:rsid w:val="000052BB"/>
    <w:rsid w:val="00005830"/>
    <w:rsid w:val="000129F5"/>
    <w:rsid w:val="00012FAA"/>
    <w:rsid w:val="000133EA"/>
    <w:rsid w:val="00013A01"/>
    <w:rsid w:val="00013BA3"/>
    <w:rsid w:val="000145C6"/>
    <w:rsid w:val="000161B3"/>
    <w:rsid w:val="000174DC"/>
    <w:rsid w:val="000211A2"/>
    <w:rsid w:val="00022868"/>
    <w:rsid w:val="000243DB"/>
    <w:rsid w:val="000243E1"/>
    <w:rsid w:val="000254CD"/>
    <w:rsid w:val="00026D29"/>
    <w:rsid w:val="0003061B"/>
    <w:rsid w:val="000346B6"/>
    <w:rsid w:val="00034DE0"/>
    <w:rsid w:val="00035307"/>
    <w:rsid w:val="00035948"/>
    <w:rsid w:val="00035951"/>
    <w:rsid w:val="0003625D"/>
    <w:rsid w:val="00041693"/>
    <w:rsid w:val="00043C9A"/>
    <w:rsid w:val="00043F40"/>
    <w:rsid w:val="00045903"/>
    <w:rsid w:val="00045B3E"/>
    <w:rsid w:val="00046401"/>
    <w:rsid w:val="00047715"/>
    <w:rsid w:val="000507E2"/>
    <w:rsid w:val="00050DB7"/>
    <w:rsid w:val="00053B79"/>
    <w:rsid w:val="00055162"/>
    <w:rsid w:val="000556EC"/>
    <w:rsid w:val="00057D3C"/>
    <w:rsid w:val="00062D7C"/>
    <w:rsid w:val="00062F4A"/>
    <w:rsid w:val="00063FF5"/>
    <w:rsid w:val="00065CF0"/>
    <w:rsid w:val="00066531"/>
    <w:rsid w:val="000702D1"/>
    <w:rsid w:val="00071658"/>
    <w:rsid w:val="0007274D"/>
    <w:rsid w:val="000730EC"/>
    <w:rsid w:val="0007312C"/>
    <w:rsid w:val="00073DF2"/>
    <w:rsid w:val="00074803"/>
    <w:rsid w:val="00074BD8"/>
    <w:rsid w:val="00075391"/>
    <w:rsid w:val="0007759D"/>
    <w:rsid w:val="00077C1C"/>
    <w:rsid w:val="00080500"/>
    <w:rsid w:val="00081D7A"/>
    <w:rsid w:val="00082028"/>
    <w:rsid w:val="00082CA8"/>
    <w:rsid w:val="00084083"/>
    <w:rsid w:val="0008421C"/>
    <w:rsid w:val="000847BB"/>
    <w:rsid w:val="00084FB3"/>
    <w:rsid w:val="000859EF"/>
    <w:rsid w:val="00085A8E"/>
    <w:rsid w:val="0008687B"/>
    <w:rsid w:val="00086BF6"/>
    <w:rsid w:val="00087B33"/>
    <w:rsid w:val="00090A9B"/>
    <w:rsid w:val="00090DEF"/>
    <w:rsid w:val="00091168"/>
    <w:rsid w:val="00091E37"/>
    <w:rsid w:val="000920E5"/>
    <w:rsid w:val="00092887"/>
    <w:rsid w:val="000946C2"/>
    <w:rsid w:val="000960B9"/>
    <w:rsid w:val="0009614C"/>
    <w:rsid w:val="0009638E"/>
    <w:rsid w:val="000A047F"/>
    <w:rsid w:val="000A0816"/>
    <w:rsid w:val="000A142F"/>
    <w:rsid w:val="000A19FF"/>
    <w:rsid w:val="000A2F76"/>
    <w:rsid w:val="000A34B6"/>
    <w:rsid w:val="000A37CE"/>
    <w:rsid w:val="000A47E6"/>
    <w:rsid w:val="000A4D70"/>
    <w:rsid w:val="000A7141"/>
    <w:rsid w:val="000B0A37"/>
    <w:rsid w:val="000B0DD6"/>
    <w:rsid w:val="000B27CD"/>
    <w:rsid w:val="000B2BC5"/>
    <w:rsid w:val="000B4450"/>
    <w:rsid w:val="000B5449"/>
    <w:rsid w:val="000B5935"/>
    <w:rsid w:val="000B6B00"/>
    <w:rsid w:val="000B7BC0"/>
    <w:rsid w:val="000B7FBD"/>
    <w:rsid w:val="000C02A3"/>
    <w:rsid w:val="000C0C5B"/>
    <w:rsid w:val="000C1CD7"/>
    <w:rsid w:val="000C1D79"/>
    <w:rsid w:val="000C1EA0"/>
    <w:rsid w:val="000C23CE"/>
    <w:rsid w:val="000C3C7D"/>
    <w:rsid w:val="000C5949"/>
    <w:rsid w:val="000C5AA9"/>
    <w:rsid w:val="000C6063"/>
    <w:rsid w:val="000C677F"/>
    <w:rsid w:val="000C69C1"/>
    <w:rsid w:val="000D1A21"/>
    <w:rsid w:val="000D2FD5"/>
    <w:rsid w:val="000D4C7F"/>
    <w:rsid w:val="000D66B0"/>
    <w:rsid w:val="000E03A6"/>
    <w:rsid w:val="000E0833"/>
    <w:rsid w:val="000E0D86"/>
    <w:rsid w:val="000E125F"/>
    <w:rsid w:val="000E1FA1"/>
    <w:rsid w:val="000E2A6E"/>
    <w:rsid w:val="000E33A1"/>
    <w:rsid w:val="000E3746"/>
    <w:rsid w:val="000E3A95"/>
    <w:rsid w:val="000E46BB"/>
    <w:rsid w:val="000E4795"/>
    <w:rsid w:val="000E4C9B"/>
    <w:rsid w:val="000E7329"/>
    <w:rsid w:val="000E76D0"/>
    <w:rsid w:val="000E76FF"/>
    <w:rsid w:val="000E777A"/>
    <w:rsid w:val="000E7AC9"/>
    <w:rsid w:val="000F02FB"/>
    <w:rsid w:val="000F0612"/>
    <w:rsid w:val="000F0BF4"/>
    <w:rsid w:val="000F17E5"/>
    <w:rsid w:val="000F236F"/>
    <w:rsid w:val="000F28BC"/>
    <w:rsid w:val="000F3F0C"/>
    <w:rsid w:val="000F4124"/>
    <w:rsid w:val="000F464D"/>
    <w:rsid w:val="000F55A8"/>
    <w:rsid w:val="000F5AAF"/>
    <w:rsid w:val="000F6775"/>
    <w:rsid w:val="000F7372"/>
    <w:rsid w:val="000F7C8D"/>
    <w:rsid w:val="000F7F35"/>
    <w:rsid w:val="00100264"/>
    <w:rsid w:val="00100655"/>
    <w:rsid w:val="00100F24"/>
    <w:rsid w:val="00102392"/>
    <w:rsid w:val="001032F6"/>
    <w:rsid w:val="00104045"/>
    <w:rsid w:val="001041E6"/>
    <w:rsid w:val="0010444E"/>
    <w:rsid w:val="001048AC"/>
    <w:rsid w:val="0010536E"/>
    <w:rsid w:val="00106806"/>
    <w:rsid w:val="00107440"/>
    <w:rsid w:val="00107643"/>
    <w:rsid w:val="0011004C"/>
    <w:rsid w:val="0011033C"/>
    <w:rsid w:val="00110766"/>
    <w:rsid w:val="00112036"/>
    <w:rsid w:val="00112407"/>
    <w:rsid w:val="00113363"/>
    <w:rsid w:val="00113380"/>
    <w:rsid w:val="00114AC5"/>
    <w:rsid w:val="00114B6F"/>
    <w:rsid w:val="00114C90"/>
    <w:rsid w:val="001155EB"/>
    <w:rsid w:val="001164CA"/>
    <w:rsid w:val="0011654B"/>
    <w:rsid w:val="001212CB"/>
    <w:rsid w:val="00123543"/>
    <w:rsid w:val="0012367A"/>
    <w:rsid w:val="00124B1E"/>
    <w:rsid w:val="001254B4"/>
    <w:rsid w:val="00125AF5"/>
    <w:rsid w:val="0012648B"/>
    <w:rsid w:val="00126726"/>
    <w:rsid w:val="001279AE"/>
    <w:rsid w:val="00130027"/>
    <w:rsid w:val="00130306"/>
    <w:rsid w:val="00130BC0"/>
    <w:rsid w:val="00132024"/>
    <w:rsid w:val="00132568"/>
    <w:rsid w:val="00134BC1"/>
    <w:rsid w:val="00135041"/>
    <w:rsid w:val="001357A7"/>
    <w:rsid w:val="00135EF6"/>
    <w:rsid w:val="001363E8"/>
    <w:rsid w:val="001376EC"/>
    <w:rsid w:val="00137E4B"/>
    <w:rsid w:val="00140090"/>
    <w:rsid w:val="001404C9"/>
    <w:rsid w:val="00141FC6"/>
    <w:rsid w:val="00142329"/>
    <w:rsid w:val="00143013"/>
    <w:rsid w:val="001450AE"/>
    <w:rsid w:val="00146B24"/>
    <w:rsid w:val="00146D0E"/>
    <w:rsid w:val="00150006"/>
    <w:rsid w:val="00151C67"/>
    <w:rsid w:val="001523E1"/>
    <w:rsid w:val="00153CF4"/>
    <w:rsid w:val="00154F31"/>
    <w:rsid w:val="00160183"/>
    <w:rsid w:val="00160768"/>
    <w:rsid w:val="00160DEC"/>
    <w:rsid w:val="00160E47"/>
    <w:rsid w:val="0016116C"/>
    <w:rsid w:val="0016171E"/>
    <w:rsid w:val="00162443"/>
    <w:rsid w:val="00163595"/>
    <w:rsid w:val="00164B80"/>
    <w:rsid w:val="001662DE"/>
    <w:rsid w:val="0016654B"/>
    <w:rsid w:val="001667BE"/>
    <w:rsid w:val="00166B5E"/>
    <w:rsid w:val="00170534"/>
    <w:rsid w:val="0017198F"/>
    <w:rsid w:val="001720CD"/>
    <w:rsid w:val="0017288A"/>
    <w:rsid w:val="00175031"/>
    <w:rsid w:val="001755DE"/>
    <w:rsid w:val="00175977"/>
    <w:rsid w:val="00175A49"/>
    <w:rsid w:val="00175C02"/>
    <w:rsid w:val="00177824"/>
    <w:rsid w:val="00177BD1"/>
    <w:rsid w:val="00177C4A"/>
    <w:rsid w:val="0018049A"/>
    <w:rsid w:val="001816BF"/>
    <w:rsid w:val="0018197C"/>
    <w:rsid w:val="00182965"/>
    <w:rsid w:val="0018378C"/>
    <w:rsid w:val="00183E80"/>
    <w:rsid w:val="001847A1"/>
    <w:rsid w:val="00184C5B"/>
    <w:rsid w:val="00184D09"/>
    <w:rsid w:val="0018502D"/>
    <w:rsid w:val="001868D6"/>
    <w:rsid w:val="00186E61"/>
    <w:rsid w:val="001912C3"/>
    <w:rsid w:val="00191B9C"/>
    <w:rsid w:val="0019305B"/>
    <w:rsid w:val="001932A2"/>
    <w:rsid w:val="00193EFB"/>
    <w:rsid w:val="0019451C"/>
    <w:rsid w:val="00194F88"/>
    <w:rsid w:val="001961E8"/>
    <w:rsid w:val="00196267"/>
    <w:rsid w:val="0019787A"/>
    <w:rsid w:val="001A054F"/>
    <w:rsid w:val="001A0B06"/>
    <w:rsid w:val="001A2361"/>
    <w:rsid w:val="001A3018"/>
    <w:rsid w:val="001A3156"/>
    <w:rsid w:val="001A375B"/>
    <w:rsid w:val="001A42AC"/>
    <w:rsid w:val="001A5A37"/>
    <w:rsid w:val="001A5E17"/>
    <w:rsid w:val="001A61B6"/>
    <w:rsid w:val="001A6439"/>
    <w:rsid w:val="001A697A"/>
    <w:rsid w:val="001A7D69"/>
    <w:rsid w:val="001A7DC2"/>
    <w:rsid w:val="001B1D3E"/>
    <w:rsid w:val="001B2693"/>
    <w:rsid w:val="001B279D"/>
    <w:rsid w:val="001B44E2"/>
    <w:rsid w:val="001B4C10"/>
    <w:rsid w:val="001B5B2F"/>
    <w:rsid w:val="001B5BFF"/>
    <w:rsid w:val="001B7218"/>
    <w:rsid w:val="001B7FD3"/>
    <w:rsid w:val="001C0933"/>
    <w:rsid w:val="001C0BB1"/>
    <w:rsid w:val="001C0BDA"/>
    <w:rsid w:val="001C2441"/>
    <w:rsid w:val="001C3230"/>
    <w:rsid w:val="001C4EE9"/>
    <w:rsid w:val="001C5DA4"/>
    <w:rsid w:val="001C637A"/>
    <w:rsid w:val="001C7B26"/>
    <w:rsid w:val="001C7B28"/>
    <w:rsid w:val="001D04F5"/>
    <w:rsid w:val="001D093A"/>
    <w:rsid w:val="001D0BCA"/>
    <w:rsid w:val="001D1729"/>
    <w:rsid w:val="001D2CA3"/>
    <w:rsid w:val="001D4399"/>
    <w:rsid w:val="001D4801"/>
    <w:rsid w:val="001D4880"/>
    <w:rsid w:val="001D52A6"/>
    <w:rsid w:val="001D5BBC"/>
    <w:rsid w:val="001D68DB"/>
    <w:rsid w:val="001D7AA4"/>
    <w:rsid w:val="001D7B80"/>
    <w:rsid w:val="001E0BB4"/>
    <w:rsid w:val="001E1254"/>
    <w:rsid w:val="001E2A24"/>
    <w:rsid w:val="001E3F5F"/>
    <w:rsid w:val="001E4032"/>
    <w:rsid w:val="001E4F7E"/>
    <w:rsid w:val="001E5152"/>
    <w:rsid w:val="001E51C8"/>
    <w:rsid w:val="001E722D"/>
    <w:rsid w:val="001E79D3"/>
    <w:rsid w:val="001E7A6D"/>
    <w:rsid w:val="001F078D"/>
    <w:rsid w:val="001F19F8"/>
    <w:rsid w:val="001F3CB6"/>
    <w:rsid w:val="001F45DC"/>
    <w:rsid w:val="001F4744"/>
    <w:rsid w:val="001F4F5A"/>
    <w:rsid w:val="001F5922"/>
    <w:rsid w:val="001F707A"/>
    <w:rsid w:val="002005C8"/>
    <w:rsid w:val="00200742"/>
    <w:rsid w:val="00200C72"/>
    <w:rsid w:val="00201047"/>
    <w:rsid w:val="002013AA"/>
    <w:rsid w:val="00201776"/>
    <w:rsid w:val="00201C91"/>
    <w:rsid w:val="00201F92"/>
    <w:rsid w:val="00202156"/>
    <w:rsid w:val="00203447"/>
    <w:rsid w:val="00204BFE"/>
    <w:rsid w:val="00204C2C"/>
    <w:rsid w:val="002058D4"/>
    <w:rsid w:val="00206786"/>
    <w:rsid w:val="00206B5D"/>
    <w:rsid w:val="00207133"/>
    <w:rsid w:val="00207654"/>
    <w:rsid w:val="002101C9"/>
    <w:rsid w:val="00210EF0"/>
    <w:rsid w:val="00212565"/>
    <w:rsid w:val="002135D8"/>
    <w:rsid w:val="002140C5"/>
    <w:rsid w:val="0021539B"/>
    <w:rsid w:val="00217822"/>
    <w:rsid w:val="0022096F"/>
    <w:rsid w:val="00220AB1"/>
    <w:rsid w:val="00220C24"/>
    <w:rsid w:val="00220D54"/>
    <w:rsid w:val="00222713"/>
    <w:rsid w:val="00223671"/>
    <w:rsid w:val="002240ED"/>
    <w:rsid w:val="002245EC"/>
    <w:rsid w:val="00224F9F"/>
    <w:rsid w:val="002252C5"/>
    <w:rsid w:val="00225F3F"/>
    <w:rsid w:val="0022662A"/>
    <w:rsid w:val="00226BF6"/>
    <w:rsid w:val="002271C2"/>
    <w:rsid w:val="00227328"/>
    <w:rsid w:val="00227721"/>
    <w:rsid w:val="00227EA4"/>
    <w:rsid w:val="0023129A"/>
    <w:rsid w:val="002319FF"/>
    <w:rsid w:val="002322F9"/>
    <w:rsid w:val="002325B0"/>
    <w:rsid w:val="002334AB"/>
    <w:rsid w:val="00233575"/>
    <w:rsid w:val="00233585"/>
    <w:rsid w:val="00234E67"/>
    <w:rsid w:val="002354B2"/>
    <w:rsid w:val="00235B23"/>
    <w:rsid w:val="002361F1"/>
    <w:rsid w:val="00236346"/>
    <w:rsid w:val="00236954"/>
    <w:rsid w:val="0023700B"/>
    <w:rsid w:val="00237509"/>
    <w:rsid w:val="002405F0"/>
    <w:rsid w:val="00240828"/>
    <w:rsid w:val="00240D60"/>
    <w:rsid w:val="00241B89"/>
    <w:rsid w:val="0024216A"/>
    <w:rsid w:val="002421DD"/>
    <w:rsid w:val="00243068"/>
    <w:rsid w:val="0024330D"/>
    <w:rsid w:val="00243434"/>
    <w:rsid w:val="002447CE"/>
    <w:rsid w:val="00244EAF"/>
    <w:rsid w:val="0024500A"/>
    <w:rsid w:val="002450DA"/>
    <w:rsid w:val="00245553"/>
    <w:rsid w:val="002467B3"/>
    <w:rsid w:val="002468DB"/>
    <w:rsid w:val="00247214"/>
    <w:rsid w:val="002479A0"/>
    <w:rsid w:val="00247B4A"/>
    <w:rsid w:val="00250D94"/>
    <w:rsid w:val="00250FFA"/>
    <w:rsid w:val="00251FF1"/>
    <w:rsid w:val="002520EA"/>
    <w:rsid w:val="002541C6"/>
    <w:rsid w:val="0025439E"/>
    <w:rsid w:val="00255D90"/>
    <w:rsid w:val="00256242"/>
    <w:rsid w:val="002576F1"/>
    <w:rsid w:val="00261986"/>
    <w:rsid w:val="002647AE"/>
    <w:rsid w:val="00265D83"/>
    <w:rsid w:val="002664D0"/>
    <w:rsid w:val="00266B8C"/>
    <w:rsid w:val="00267A7C"/>
    <w:rsid w:val="00271F75"/>
    <w:rsid w:val="002721CB"/>
    <w:rsid w:val="0027231F"/>
    <w:rsid w:val="00272724"/>
    <w:rsid w:val="00272D3E"/>
    <w:rsid w:val="00272F12"/>
    <w:rsid w:val="00273612"/>
    <w:rsid w:val="00275078"/>
    <w:rsid w:val="00275096"/>
    <w:rsid w:val="0027517B"/>
    <w:rsid w:val="00275929"/>
    <w:rsid w:val="002770A6"/>
    <w:rsid w:val="002776BE"/>
    <w:rsid w:val="00280CFD"/>
    <w:rsid w:val="002818A0"/>
    <w:rsid w:val="002818B2"/>
    <w:rsid w:val="00283974"/>
    <w:rsid w:val="00284BC2"/>
    <w:rsid w:val="00284E34"/>
    <w:rsid w:val="002852AB"/>
    <w:rsid w:val="00285F0C"/>
    <w:rsid w:val="00286614"/>
    <w:rsid w:val="00287B4A"/>
    <w:rsid w:val="002911AB"/>
    <w:rsid w:val="00291F28"/>
    <w:rsid w:val="00294843"/>
    <w:rsid w:val="00294B3E"/>
    <w:rsid w:val="002959F3"/>
    <w:rsid w:val="00295C58"/>
    <w:rsid w:val="00295F4F"/>
    <w:rsid w:val="00296BD4"/>
    <w:rsid w:val="00297ABE"/>
    <w:rsid w:val="002A0261"/>
    <w:rsid w:val="002A1CAB"/>
    <w:rsid w:val="002A25B6"/>
    <w:rsid w:val="002A2BB0"/>
    <w:rsid w:val="002A51F7"/>
    <w:rsid w:val="002A54FF"/>
    <w:rsid w:val="002A6544"/>
    <w:rsid w:val="002A7477"/>
    <w:rsid w:val="002A7A64"/>
    <w:rsid w:val="002A7D0C"/>
    <w:rsid w:val="002B0029"/>
    <w:rsid w:val="002B0E62"/>
    <w:rsid w:val="002B13B8"/>
    <w:rsid w:val="002B2515"/>
    <w:rsid w:val="002B2FED"/>
    <w:rsid w:val="002B402D"/>
    <w:rsid w:val="002B6143"/>
    <w:rsid w:val="002B769A"/>
    <w:rsid w:val="002C0082"/>
    <w:rsid w:val="002C0CF3"/>
    <w:rsid w:val="002C1136"/>
    <w:rsid w:val="002C1200"/>
    <w:rsid w:val="002C2400"/>
    <w:rsid w:val="002C2CFE"/>
    <w:rsid w:val="002C3645"/>
    <w:rsid w:val="002C4936"/>
    <w:rsid w:val="002C4D20"/>
    <w:rsid w:val="002C4ED2"/>
    <w:rsid w:val="002C54CA"/>
    <w:rsid w:val="002C6429"/>
    <w:rsid w:val="002C6CCB"/>
    <w:rsid w:val="002C6FCE"/>
    <w:rsid w:val="002C7A76"/>
    <w:rsid w:val="002C7D3D"/>
    <w:rsid w:val="002D09D6"/>
    <w:rsid w:val="002D0AE7"/>
    <w:rsid w:val="002D2DC8"/>
    <w:rsid w:val="002D3E7C"/>
    <w:rsid w:val="002D42CB"/>
    <w:rsid w:val="002D432D"/>
    <w:rsid w:val="002D6708"/>
    <w:rsid w:val="002E006D"/>
    <w:rsid w:val="002E0F21"/>
    <w:rsid w:val="002E11AF"/>
    <w:rsid w:val="002E1534"/>
    <w:rsid w:val="002E154E"/>
    <w:rsid w:val="002E1620"/>
    <w:rsid w:val="002E18B1"/>
    <w:rsid w:val="002E20EC"/>
    <w:rsid w:val="002E2589"/>
    <w:rsid w:val="002E26CF"/>
    <w:rsid w:val="002E2C31"/>
    <w:rsid w:val="002E3090"/>
    <w:rsid w:val="002E41FF"/>
    <w:rsid w:val="002E4D3E"/>
    <w:rsid w:val="002E627C"/>
    <w:rsid w:val="002E687D"/>
    <w:rsid w:val="002E7C98"/>
    <w:rsid w:val="002E7F52"/>
    <w:rsid w:val="002F2903"/>
    <w:rsid w:val="002F2F21"/>
    <w:rsid w:val="002F3AF7"/>
    <w:rsid w:val="002F41CD"/>
    <w:rsid w:val="002F70EB"/>
    <w:rsid w:val="002F71DF"/>
    <w:rsid w:val="0030004F"/>
    <w:rsid w:val="00300262"/>
    <w:rsid w:val="00301C6A"/>
    <w:rsid w:val="0030208E"/>
    <w:rsid w:val="00302629"/>
    <w:rsid w:val="00302A9D"/>
    <w:rsid w:val="0030426F"/>
    <w:rsid w:val="00304C7D"/>
    <w:rsid w:val="00305062"/>
    <w:rsid w:val="0030548A"/>
    <w:rsid w:val="00305806"/>
    <w:rsid w:val="003064C4"/>
    <w:rsid w:val="00306646"/>
    <w:rsid w:val="00310322"/>
    <w:rsid w:val="00310A33"/>
    <w:rsid w:val="00310D4F"/>
    <w:rsid w:val="00312489"/>
    <w:rsid w:val="00312D42"/>
    <w:rsid w:val="0031379C"/>
    <w:rsid w:val="00313F0E"/>
    <w:rsid w:val="00314402"/>
    <w:rsid w:val="00314ED5"/>
    <w:rsid w:val="00315CB7"/>
    <w:rsid w:val="0031610E"/>
    <w:rsid w:val="003162C3"/>
    <w:rsid w:val="00316405"/>
    <w:rsid w:val="00317D01"/>
    <w:rsid w:val="0032036A"/>
    <w:rsid w:val="00321324"/>
    <w:rsid w:val="003219BE"/>
    <w:rsid w:val="0032394B"/>
    <w:rsid w:val="00325395"/>
    <w:rsid w:val="00326A7E"/>
    <w:rsid w:val="0033096F"/>
    <w:rsid w:val="00331382"/>
    <w:rsid w:val="00332050"/>
    <w:rsid w:val="00332124"/>
    <w:rsid w:val="003321CF"/>
    <w:rsid w:val="003323BA"/>
    <w:rsid w:val="003327D8"/>
    <w:rsid w:val="00332F86"/>
    <w:rsid w:val="00333281"/>
    <w:rsid w:val="00334455"/>
    <w:rsid w:val="00334516"/>
    <w:rsid w:val="00334B83"/>
    <w:rsid w:val="00335F32"/>
    <w:rsid w:val="003364B9"/>
    <w:rsid w:val="00336FC3"/>
    <w:rsid w:val="0034014E"/>
    <w:rsid w:val="00341FCF"/>
    <w:rsid w:val="003423FE"/>
    <w:rsid w:val="00342BD1"/>
    <w:rsid w:val="0034368F"/>
    <w:rsid w:val="0034385B"/>
    <w:rsid w:val="003456FD"/>
    <w:rsid w:val="00345A4F"/>
    <w:rsid w:val="00346D6C"/>
    <w:rsid w:val="00351582"/>
    <w:rsid w:val="003515BE"/>
    <w:rsid w:val="003516D9"/>
    <w:rsid w:val="00352307"/>
    <w:rsid w:val="00352AD5"/>
    <w:rsid w:val="003557AC"/>
    <w:rsid w:val="00356067"/>
    <w:rsid w:val="003570AD"/>
    <w:rsid w:val="003576D8"/>
    <w:rsid w:val="0035797F"/>
    <w:rsid w:val="00357F0F"/>
    <w:rsid w:val="00360032"/>
    <w:rsid w:val="00360BE5"/>
    <w:rsid w:val="00360FA1"/>
    <w:rsid w:val="0036332D"/>
    <w:rsid w:val="003656FA"/>
    <w:rsid w:val="003671F5"/>
    <w:rsid w:val="00371E4B"/>
    <w:rsid w:val="00372242"/>
    <w:rsid w:val="00373978"/>
    <w:rsid w:val="00373B39"/>
    <w:rsid w:val="0037442E"/>
    <w:rsid w:val="003745A0"/>
    <w:rsid w:val="00374E1A"/>
    <w:rsid w:val="00375172"/>
    <w:rsid w:val="003755CB"/>
    <w:rsid w:val="003761AC"/>
    <w:rsid w:val="003769B7"/>
    <w:rsid w:val="00376E21"/>
    <w:rsid w:val="00381D19"/>
    <w:rsid w:val="00383DBF"/>
    <w:rsid w:val="00383FFB"/>
    <w:rsid w:val="00384E16"/>
    <w:rsid w:val="00385837"/>
    <w:rsid w:val="0038592C"/>
    <w:rsid w:val="00387126"/>
    <w:rsid w:val="003873FD"/>
    <w:rsid w:val="00387426"/>
    <w:rsid w:val="0038777E"/>
    <w:rsid w:val="003903F3"/>
    <w:rsid w:val="003909F6"/>
    <w:rsid w:val="00390F23"/>
    <w:rsid w:val="003913C8"/>
    <w:rsid w:val="00391EC4"/>
    <w:rsid w:val="00391F48"/>
    <w:rsid w:val="0039243F"/>
    <w:rsid w:val="00395300"/>
    <w:rsid w:val="003959B8"/>
    <w:rsid w:val="00395B40"/>
    <w:rsid w:val="00396038"/>
    <w:rsid w:val="00396049"/>
    <w:rsid w:val="0039654D"/>
    <w:rsid w:val="0039732B"/>
    <w:rsid w:val="00397E98"/>
    <w:rsid w:val="003A17FF"/>
    <w:rsid w:val="003A21E5"/>
    <w:rsid w:val="003A297D"/>
    <w:rsid w:val="003A2BF9"/>
    <w:rsid w:val="003A331B"/>
    <w:rsid w:val="003A3BEA"/>
    <w:rsid w:val="003A48C5"/>
    <w:rsid w:val="003A4AC6"/>
    <w:rsid w:val="003A4BE3"/>
    <w:rsid w:val="003A5FB5"/>
    <w:rsid w:val="003B0D0B"/>
    <w:rsid w:val="003B1065"/>
    <w:rsid w:val="003B16D2"/>
    <w:rsid w:val="003B1DAD"/>
    <w:rsid w:val="003B2AA2"/>
    <w:rsid w:val="003B2FD2"/>
    <w:rsid w:val="003B5D3E"/>
    <w:rsid w:val="003B6169"/>
    <w:rsid w:val="003B6B7F"/>
    <w:rsid w:val="003B6CA4"/>
    <w:rsid w:val="003B7137"/>
    <w:rsid w:val="003C0053"/>
    <w:rsid w:val="003C03E0"/>
    <w:rsid w:val="003C05C5"/>
    <w:rsid w:val="003C1892"/>
    <w:rsid w:val="003C2CFF"/>
    <w:rsid w:val="003C2E75"/>
    <w:rsid w:val="003C2E80"/>
    <w:rsid w:val="003C3AA0"/>
    <w:rsid w:val="003C3DD7"/>
    <w:rsid w:val="003C4496"/>
    <w:rsid w:val="003C51EB"/>
    <w:rsid w:val="003C6A4A"/>
    <w:rsid w:val="003C70B1"/>
    <w:rsid w:val="003C728F"/>
    <w:rsid w:val="003D15FC"/>
    <w:rsid w:val="003D192D"/>
    <w:rsid w:val="003D1C08"/>
    <w:rsid w:val="003D1EB4"/>
    <w:rsid w:val="003D2B66"/>
    <w:rsid w:val="003D31FD"/>
    <w:rsid w:val="003D3C28"/>
    <w:rsid w:val="003D3F72"/>
    <w:rsid w:val="003D42E3"/>
    <w:rsid w:val="003D5C27"/>
    <w:rsid w:val="003D77FA"/>
    <w:rsid w:val="003D7F47"/>
    <w:rsid w:val="003E0D79"/>
    <w:rsid w:val="003E0F9F"/>
    <w:rsid w:val="003E14ED"/>
    <w:rsid w:val="003E1821"/>
    <w:rsid w:val="003E1929"/>
    <w:rsid w:val="003E5A8A"/>
    <w:rsid w:val="003E5D13"/>
    <w:rsid w:val="003E61D3"/>
    <w:rsid w:val="003E63F8"/>
    <w:rsid w:val="003E6B8D"/>
    <w:rsid w:val="003E70CB"/>
    <w:rsid w:val="003E71C8"/>
    <w:rsid w:val="003F0D78"/>
    <w:rsid w:val="003F139B"/>
    <w:rsid w:val="003F1FB2"/>
    <w:rsid w:val="003F2F76"/>
    <w:rsid w:val="003F384D"/>
    <w:rsid w:val="003F3A95"/>
    <w:rsid w:val="003F3BBB"/>
    <w:rsid w:val="003F537A"/>
    <w:rsid w:val="003F5475"/>
    <w:rsid w:val="003F560E"/>
    <w:rsid w:val="003F5A24"/>
    <w:rsid w:val="003F5BB2"/>
    <w:rsid w:val="003F5EDA"/>
    <w:rsid w:val="003F62E0"/>
    <w:rsid w:val="003F643D"/>
    <w:rsid w:val="003F653C"/>
    <w:rsid w:val="003F6E33"/>
    <w:rsid w:val="003F71F4"/>
    <w:rsid w:val="00400590"/>
    <w:rsid w:val="00400691"/>
    <w:rsid w:val="00400A9A"/>
    <w:rsid w:val="004018C7"/>
    <w:rsid w:val="00401C57"/>
    <w:rsid w:val="004028D9"/>
    <w:rsid w:val="00404CDD"/>
    <w:rsid w:val="004066A2"/>
    <w:rsid w:val="00406C29"/>
    <w:rsid w:val="00406CA1"/>
    <w:rsid w:val="0041013E"/>
    <w:rsid w:val="00410C67"/>
    <w:rsid w:val="0041126A"/>
    <w:rsid w:val="00411783"/>
    <w:rsid w:val="00411A91"/>
    <w:rsid w:val="0041286F"/>
    <w:rsid w:val="004139A3"/>
    <w:rsid w:val="00413BE4"/>
    <w:rsid w:val="0041405E"/>
    <w:rsid w:val="0041477F"/>
    <w:rsid w:val="0041487F"/>
    <w:rsid w:val="00414991"/>
    <w:rsid w:val="00414E7A"/>
    <w:rsid w:val="00416135"/>
    <w:rsid w:val="00416ED9"/>
    <w:rsid w:val="004173B2"/>
    <w:rsid w:val="004205AB"/>
    <w:rsid w:val="00421135"/>
    <w:rsid w:val="00421794"/>
    <w:rsid w:val="004225E9"/>
    <w:rsid w:val="00423D86"/>
    <w:rsid w:val="00424C9E"/>
    <w:rsid w:val="004255B6"/>
    <w:rsid w:val="0042605C"/>
    <w:rsid w:val="00427912"/>
    <w:rsid w:val="00430234"/>
    <w:rsid w:val="00430948"/>
    <w:rsid w:val="004312D0"/>
    <w:rsid w:val="00431AF3"/>
    <w:rsid w:val="00432A89"/>
    <w:rsid w:val="00432CD0"/>
    <w:rsid w:val="004333ED"/>
    <w:rsid w:val="004338FC"/>
    <w:rsid w:val="00433C37"/>
    <w:rsid w:val="0043444E"/>
    <w:rsid w:val="00434487"/>
    <w:rsid w:val="004354AF"/>
    <w:rsid w:val="00436B9A"/>
    <w:rsid w:val="0044161F"/>
    <w:rsid w:val="0044362C"/>
    <w:rsid w:val="00444544"/>
    <w:rsid w:val="00444D4B"/>
    <w:rsid w:val="00445C99"/>
    <w:rsid w:val="00445CDF"/>
    <w:rsid w:val="00446060"/>
    <w:rsid w:val="00450AC4"/>
    <w:rsid w:val="00450C02"/>
    <w:rsid w:val="00451057"/>
    <w:rsid w:val="004517B1"/>
    <w:rsid w:val="00451CE6"/>
    <w:rsid w:val="004531B5"/>
    <w:rsid w:val="0045332B"/>
    <w:rsid w:val="004539CC"/>
    <w:rsid w:val="00453B3B"/>
    <w:rsid w:val="00453EDC"/>
    <w:rsid w:val="00454200"/>
    <w:rsid w:val="00454BBE"/>
    <w:rsid w:val="00455CC2"/>
    <w:rsid w:val="00457A73"/>
    <w:rsid w:val="00460B5A"/>
    <w:rsid w:val="00462BB7"/>
    <w:rsid w:val="0046376B"/>
    <w:rsid w:val="00465207"/>
    <w:rsid w:val="0046520C"/>
    <w:rsid w:val="00467125"/>
    <w:rsid w:val="00470C37"/>
    <w:rsid w:val="00470E75"/>
    <w:rsid w:val="00471819"/>
    <w:rsid w:val="00471C73"/>
    <w:rsid w:val="00473AB6"/>
    <w:rsid w:val="00474CDF"/>
    <w:rsid w:val="00474EEE"/>
    <w:rsid w:val="00475B6F"/>
    <w:rsid w:val="00475EA5"/>
    <w:rsid w:val="00476049"/>
    <w:rsid w:val="00476DC3"/>
    <w:rsid w:val="00477023"/>
    <w:rsid w:val="00481088"/>
    <w:rsid w:val="00481126"/>
    <w:rsid w:val="00481554"/>
    <w:rsid w:val="00485AC3"/>
    <w:rsid w:val="004877E5"/>
    <w:rsid w:val="00490058"/>
    <w:rsid w:val="00490858"/>
    <w:rsid w:val="004910FA"/>
    <w:rsid w:val="0049159A"/>
    <w:rsid w:val="004917C8"/>
    <w:rsid w:val="0049180F"/>
    <w:rsid w:val="004918D4"/>
    <w:rsid w:val="004925AA"/>
    <w:rsid w:val="00492688"/>
    <w:rsid w:val="004928B5"/>
    <w:rsid w:val="00493257"/>
    <w:rsid w:val="00493829"/>
    <w:rsid w:val="00493C95"/>
    <w:rsid w:val="004948A0"/>
    <w:rsid w:val="00495295"/>
    <w:rsid w:val="00495CD8"/>
    <w:rsid w:val="004965FA"/>
    <w:rsid w:val="004A0A89"/>
    <w:rsid w:val="004A0AA0"/>
    <w:rsid w:val="004A2B0F"/>
    <w:rsid w:val="004A2F1E"/>
    <w:rsid w:val="004A4106"/>
    <w:rsid w:val="004A4D62"/>
    <w:rsid w:val="004A5CBC"/>
    <w:rsid w:val="004A77AF"/>
    <w:rsid w:val="004B1561"/>
    <w:rsid w:val="004B37FD"/>
    <w:rsid w:val="004B44C0"/>
    <w:rsid w:val="004B50FF"/>
    <w:rsid w:val="004B52CF"/>
    <w:rsid w:val="004B58D5"/>
    <w:rsid w:val="004B68FB"/>
    <w:rsid w:val="004B74FC"/>
    <w:rsid w:val="004B75B3"/>
    <w:rsid w:val="004B7B6E"/>
    <w:rsid w:val="004B7DF7"/>
    <w:rsid w:val="004B7E75"/>
    <w:rsid w:val="004C06B8"/>
    <w:rsid w:val="004C1507"/>
    <w:rsid w:val="004C342F"/>
    <w:rsid w:val="004C41AD"/>
    <w:rsid w:val="004C5AAA"/>
    <w:rsid w:val="004C5B13"/>
    <w:rsid w:val="004C5CDD"/>
    <w:rsid w:val="004C671E"/>
    <w:rsid w:val="004C6C55"/>
    <w:rsid w:val="004C755E"/>
    <w:rsid w:val="004D03BA"/>
    <w:rsid w:val="004D20E5"/>
    <w:rsid w:val="004D2766"/>
    <w:rsid w:val="004D4942"/>
    <w:rsid w:val="004D5075"/>
    <w:rsid w:val="004D681F"/>
    <w:rsid w:val="004D77F7"/>
    <w:rsid w:val="004E1212"/>
    <w:rsid w:val="004E18EB"/>
    <w:rsid w:val="004E1A56"/>
    <w:rsid w:val="004E204B"/>
    <w:rsid w:val="004E2725"/>
    <w:rsid w:val="004E44D7"/>
    <w:rsid w:val="004E4666"/>
    <w:rsid w:val="004E4D44"/>
    <w:rsid w:val="004E4F2A"/>
    <w:rsid w:val="004E4FF9"/>
    <w:rsid w:val="004E59E1"/>
    <w:rsid w:val="004E68D9"/>
    <w:rsid w:val="004E6A68"/>
    <w:rsid w:val="004F092E"/>
    <w:rsid w:val="004F0E2C"/>
    <w:rsid w:val="004F1BBB"/>
    <w:rsid w:val="004F328A"/>
    <w:rsid w:val="004F4B1D"/>
    <w:rsid w:val="004F4FDA"/>
    <w:rsid w:val="004F560A"/>
    <w:rsid w:val="004F6E2D"/>
    <w:rsid w:val="00500AEE"/>
    <w:rsid w:val="00501CB2"/>
    <w:rsid w:val="005021A7"/>
    <w:rsid w:val="005023F9"/>
    <w:rsid w:val="005029BF"/>
    <w:rsid w:val="00503572"/>
    <w:rsid w:val="00503C46"/>
    <w:rsid w:val="00506ADA"/>
    <w:rsid w:val="00506DC6"/>
    <w:rsid w:val="0051010F"/>
    <w:rsid w:val="0051191E"/>
    <w:rsid w:val="00512441"/>
    <w:rsid w:val="00512785"/>
    <w:rsid w:val="00512839"/>
    <w:rsid w:val="00513E19"/>
    <w:rsid w:val="0051508B"/>
    <w:rsid w:val="00515FF5"/>
    <w:rsid w:val="005179F5"/>
    <w:rsid w:val="00517AB4"/>
    <w:rsid w:val="00520349"/>
    <w:rsid w:val="005209F9"/>
    <w:rsid w:val="00522769"/>
    <w:rsid w:val="005228CE"/>
    <w:rsid w:val="00523195"/>
    <w:rsid w:val="0052378B"/>
    <w:rsid w:val="00523C6B"/>
    <w:rsid w:val="0052445F"/>
    <w:rsid w:val="00526A07"/>
    <w:rsid w:val="00527C0B"/>
    <w:rsid w:val="00530099"/>
    <w:rsid w:val="005308BB"/>
    <w:rsid w:val="00531BA9"/>
    <w:rsid w:val="00532DCC"/>
    <w:rsid w:val="0053331A"/>
    <w:rsid w:val="00533DA0"/>
    <w:rsid w:val="00534667"/>
    <w:rsid w:val="005363D6"/>
    <w:rsid w:val="005364CA"/>
    <w:rsid w:val="0053744E"/>
    <w:rsid w:val="00537FE9"/>
    <w:rsid w:val="00540F6D"/>
    <w:rsid w:val="005430DE"/>
    <w:rsid w:val="0054408A"/>
    <w:rsid w:val="00544A10"/>
    <w:rsid w:val="00544EE7"/>
    <w:rsid w:val="005456C0"/>
    <w:rsid w:val="00546F34"/>
    <w:rsid w:val="005473DC"/>
    <w:rsid w:val="00547CB1"/>
    <w:rsid w:val="00550718"/>
    <w:rsid w:val="00550730"/>
    <w:rsid w:val="005508F9"/>
    <w:rsid w:val="00550AAC"/>
    <w:rsid w:val="0055100E"/>
    <w:rsid w:val="005511B9"/>
    <w:rsid w:val="005512F9"/>
    <w:rsid w:val="00551F25"/>
    <w:rsid w:val="0055272B"/>
    <w:rsid w:val="00553199"/>
    <w:rsid w:val="005537D2"/>
    <w:rsid w:val="00553A93"/>
    <w:rsid w:val="00554852"/>
    <w:rsid w:val="00554FE9"/>
    <w:rsid w:val="005553B4"/>
    <w:rsid w:val="005553E9"/>
    <w:rsid w:val="005560D4"/>
    <w:rsid w:val="0055674D"/>
    <w:rsid w:val="00556A8C"/>
    <w:rsid w:val="00557075"/>
    <w:rsid w:val="00557F61"/>
    <w:rsid w:val="005609FB"/>
    <w:rsid w:val="00561B4E"/>
    <w:rsid w:val="00561BB9"/>
    <w:rsid w:val="00562052"/>
    <w:rsid w:val="00562448"/>
    <w:rsid w:val="00562529"/>
    <w:rsid w:val="005628AE"/>
    <w:rsid w:val="00562BBD"/>
    <w:rsid w:val="00563C6B"/>
    <w:rsid w:val="00564999"/>
    <w:rsid w:val="00566E49"/>
    <w:rsid w:val="00566F45"/>
    <w:rsid w:val="005675F7"/>
    <w:rsid w:val="005676F5"/>
    <w:rsid w:val="005678B7"/>
    <w:rsid w:val="00567B61"/>
    <w:rsid w:val="00570AC0"/>
    <w:rsid w:val="00571F07"/>
    <w:rsid w:val="00573059"/>
    <w:rsid w:val="00574D67"/>
    <w:rsid w:val="00575F0D"/>
    <w:rsid w:val="005762E0"/>
    <w:rsid w:val="00576EC5"/>
    <w:rsid w:val="0058047E"/>
    <w:rsid w:val="00580563"/>
    <w:rsid w:val="005805C0"/>
    <w:rsid w:val="00580980"/>
    <w:rsid w:val="00580E45"/>
    <w:rsid w:val="0058176C"/>
    <w:rsid w:val="00581BF7"/>
    <w:rsid w:val="00582027"/>
    <w:rsid w:val="005822ED"/>
    <w:rsid w:val="00582803"/>
    <w:rsid w:val="0058376D"/>
    <w:rsid w:val="00583ADF"/>
    <w:rsid w:val="00583B02"/>
    <w:rsid w:val="00584C53"/>
    <w:rsid w:val="00586AF5"/>
    <w:rsid w:val="00586C1B"/>
    <w:rsid w:val="00586E40"/>
    <w:rsid w:val="0059339E"/>
    <w:rsid w:val="00593652"/>
    <w:rsid w:val="005936C9"/>
    <w:rsid w:val="00594142"/>
    <w:rsid w:val="00594C6C"/>
    <w:rsid w:val="00594DA2"/>
    <w:rsid w:val="00595268"/>
    <w:rsid w:val="00595330"/>
    <w:rsid w:val="00595392"/>
    <w:rsid w:val="00595DF3"/>
    <w:rsid w:val="00596E5C"/>
    <w:rsid w:val="005A0285"/>
    <w:rsid w:val="005A0A20"/>
    <w:rsid w:val="005A15AF"/>
    <w:rsid w:val="005A15B1"/>
    <w:rsid w:val="005A1704"/>
    <w:rsid w:val="005A1BA3"/>
    <w:rsid w:val="005A1FFE"/>
    <w:rsid w:val="005A282D"/>
    <w:rsid w:val="005A3028"/>
    <w:rsid w:val="005A3CBE"/>
    <w:rsid w:val="005A3F7D"/>
    <w:rsid w:val="005A40A3"/>
    <w:rsid w:val="005A4316"/>
    <w:rsid w:val="005A4D17"/>
    <w:rsid w:val="005A5AC8"/>
    <w:rsid w:val="005A765A"/>
    <w:rsid w:val="005A7FA8"/>
    <w:rsid w:val="005B05E6"/>
    <w:rsid w:val="005B0C69"/>
    <w:rsid w:val="005B1031"/>
    <w:rsid w:val="005B1872"/>
    <w:rsid w:val="005B22A2"/>
    <w:rsid w:val="005B240B"/>
    <w:rsid w:val="005B325C"/>
    <w:rsid w:val="005B3403"/>
    <w:rsid w:val="005B500E"/>
    <w:rsid w:val="005B5428"/>
    <w:rsid w:val="005B5BF1"/>
    <w:rsid w:val="005B5C45"/>
    <w:rsid w:val="005B7799"/>
    <w:rsid w:val="005C0936"/>
    <w:rsid w:val="005C0C45"/>
    <w:rsid w:val="005C1A9B"/>
    <w:rsid w:val="005C1AF4"/>
    <w:rsid w:val="005C375D"/>
    <w:rsid w:val="005C4914"/>
    <w:rsid w:val="005C5303"/>
    <w:rsid w:val="005C5499"/>
    <w:rsid w:val="005C6219"/>
    <w:rsid w:val="005C6540"/>
    <w:rsid w:val="005C7FB6"/>
    <w:rsid w:val="005D07CE"/>
    <w:rsid w:val="005D10C7"/>
    <w:rsid w:val="005D397F"/>
    <w:rsid w:val="005D5970"/>
    <w:rsid w:val="005D7224"/>
    <w:rsid w:val="005D738E"/>
    <w:rsid w:val="005D7E5E"/>
    <w:rsid w:val="005E0816"/>
    <w:rsid w:val="005E0AEF"/>
    <w:rsid w:val="005E0F99"/>
    <w:rsid w:val="005E1961"/>
    <w:rsid w:val="005E2A41"/>
    <w:rsid w:val="005E3653"/>
    <w:rsid w:val="005E3B1B"/>
    <w:rsid w:val="005E4ECB"/>
    <w:rsid w:val="005E4FE5"/>
    <w:rsid w:val="005E66C3"/>
    <w:rsid w:val="005F0012"/>
    <w:rsid w:val="005F0A31"/>
    <w:rsid w:val="005F15E4"/>
    <w:rsid w:val="005F373B"/>
    <w:rsid w:val="005F3B5C"/>
    <w:rsid w:val="005F3D2C"/>
    <w:rsid w:val="005F443A"/>
    <w:rsid w:val="005F4FFF"/>
    <w:rsid w:val="005F527E"/>
    <w:rsid w:val="005F53D0"/>
    <w:rsid w:val="005F5CDF"/>
    <w:rsid w:val="005F5DCF"/>
    <w:rsid w:val="005F5E77"/>
    <w:rsid w:val="005F6797"/>
    <w:rsid w:val="006004A3"/>
    <w:rsid w:val="00601046"/>
    <w:rsid w:val="006014E5"/>
    <w:rsid w:val="006015D9"/>
    <w:rsid w:val="00601A5D"/>
    <w:rsid w:val="00602902"/>
    <w:rsid w:val="0060354C"/>
    <w:rsid w:val="00605018"/>
    <w:rsid w:val="006056C6"/>
    <w:rsid w:val="00605A24"/>
    <w:rsid w:val="00605DA3"/>
    <w:rsid w:val="00606E35"/>
    <w:rsid w:val="006100DD"/>
    <w:rsid w:val="0061099B"/>
    <w:rsid w:val="00610CFC"/>
    <w:rsid w:val="006116C3"/>
    <w:rsid w:val="00612E2F"/>
    <w:rsid w:val="00612E44"/>
    <w:rsid w:val="00613959"/>
    <w:rsid w:val="00614BDD"/>
    <w:rsid w:val="00614D29"/>
    <w:rsid w:val="00615563"/>
    <w:rsid w:val="00615BAE"/>
    <w:rsid w:val="00615DB4"/>
    <w:rsid w:val="00615F62"/>
    <w:rsid w:val="00620BE6"/>
    <w:rsid w:val="00620D83"/>
    <w:rsid w:val="006212DC"/>
    <w:rsid w:val="00621E66"/>
    <w:rsid w:val="0062348C"/>
    <w:rsid w:val="00623736"/>
    <w:rsid w:val="00623D21"/>
    <w:rsid w:val="006250FD"/>
    <w:rsid w:val="0062626C"/>
    <w:rsid w:val="00627C67"/>
    <w:rsid w:val="00634228"/>
    <w:rsid w:val="006346B2"/>
    <w:rsid w:val="00634B83"/>
    <w:rsid w:val="006371D1"/>
    <w:rsid w:val="006372C3"/>
    <w:rsid w:val="006374DA"/>
    <w:rsid w:val="00637931"/>
    <w:rsid w:val="0064028C"/>
    <w:rsid w:val="00640D34"/>
    <w:rsid w:val="0064110C"/>
    <w:rsid w:val="006411A7"/>
    <w:rsid w:val="00641DEA"/>
    <w:rsid w:val="00642EB0"/>
    <w:rsid w:val="00642FAF"/>
    <w:rsid w:val="00643350"/>
    <w:rsid w:val="0064380B"/>
    <w:rsid w:val="006446D3"/>
    <w:rsid w:val="006450C2"/>
    <w:rsid w:val="00645482"/>
    <w:rsid w:val="006464B0"/>
    <w:rsid w:val="00646589"/>
    <w:rsid w:val="006479A5"/>
    <w:rsid w:val="00647DF8"/>
    <w:rsid w:val="00650B2A"/>
    <w:rsid w:val="006514AD"/>
    <w:rsid w:val="00651A1A"/>
    <w:rsid w:val="006529AC"/>
    <w:rsid w:val="00652D24"/>
    <w:rsid w:val="006531B4"/>
    <w:rsid w:val="00653341"/>
    <w:rsid w:val="00653A3F"/>
    <w:rsid w:val="00653B6D"/>
    <w:rsid w:val="00654C57"/>
    <w:rsid w:val="0065637B"/>
    <w:rsid w:val="00657483"/>
    <w:rsid w:val="00657566"/>
    <w:rsid w:val="006609BA"/>
    <w:rsid w:val="00660B5A"/>
    <w:rsid w:val="00660BB8"/>
    <w:rsid w:val="006639C3"/>
    <w:rsid w:val="00665D17"/>
    <w:rsid w:val="0066762D"/>
    <w:rsid w:val="006677F4"/>
    <w:rsid w:val="00671E15"/>
    <w:rsid w:val="0067306A"/>
    <w:rsid w:val="00673377"/>
    <w:rsid w:val="006746EC"/>
    <w:rsid w:val="006747B6"/>
    <w:rsid w:val="006752EC"/>
    <w:rsid w:val="00675669"/>
    <w:rsid w:val="00675CCB"/>
    <w:rsid w:val="006764C5"/>
    <w:rsid w:val="00676C0A"/>
    <w:rsid w:val="006770F9"/>
    <w:rsid w:val="006772CA"/>
    <w:rsid w:val="00677A80"/>
    <w:rsid w:val="00677E70"/>
    <w:rsid w:val="00682024"/>
    <w:rsid w:val="00682378"/>
    <w:rsid w:val="006826F4"/>
    <w:rsid w:val="0068361F"/>
    <w:rsid w:val="0068366D"/>
    <w:rsid w:val="006849C4"/>
    <w:rsid w:val="00684B64"/>
    <w:rsid w:val="00684D9D"/>
    <w:rsid w:val="00687751"/>
    <w:rsid w:val="006902D1"/>
    <w:rsid w:val="00690A86"/>
    <w:rsid w:val="00690B95"/>
    <w:rsid w:val="00691339"/>
    <w:rsid w:val="00692DA4"/>
    <w:rsid w:val="00694264"/>
    <w:rsid w:val="00694899"/>
    <w:rsid w:val="00695284"/>
    <w:rsid w:val="0069528D"/>
    <w:rsid w:val="00695903"/>
    <w:rsid w:val="00697250"/>
    <w:rsid w:val="00697927"/>
    <w:rsid w:val="006A0BB3"/>
    <w:rsid w:val="006A2022"/>
    <w:rsid w:val="006A2452"/>
    <w:rsid w:val="006A285B"/>
    <w:rsid w:val="006A2996"/>
    <w:rsid w:val="006A3B50"/>
    <w:rsid w:val="006A3E37"/>
    <w:rsid w:val="006A4BB9"/>
    <w:rsid w:val="006A5020"/>
    <w:rsid w:val="006A566F"/>
    <w:rsid w:val="006A5E7D"/>
    <w:rsid w:val="006A5F6D"/>
    <w:rsid w:val="006B0DF3"/>
    <w:rsid w:val="006B2C0E"/>
    <w:rsid w:val="006B2C93"/>
    <w:rsid w:val="006B31E6"/>
    <w:rsid w:val="006B35F9"/>
    <w:rsid w:val="006B3750"/>
    <w:rsid w:val="006B3DAF"/>
    <w:rsid w:val="006B43CF"/>
    <w:rsid w:val="006B57F9"/>
    <w:rsid w:val="006B6A93"/>
    <w:rsid w:val="006B6B1A"/>
    <w:rsid w:val="006B717C"/>
    <w:rsid w:val="006B79C9"/>
    <w:rsid w:val="006C03D7"/>
    <w:rsid w:val="006C055D"/>
    <w:rsid w:val="006C0F90"/>
    <w:rsid w:val="006C2A89"/>
    <w:rsid w:val="006C2C41"/>
    <w:rsid w:val="006C37B5"/>
    <w:rsid w:val="006C3DFF"/>
    <w:rsid w:val="006C50BF"/>
    <w:rsid w:val="006C59F0"/>
    <w:rsid w:val="006C78AC"/>
    <w:rsid w:val="006D0305"/>
    <w:rsid w:val="006D1732"/>
    <w:rsid w:val="006D2165"/>
    <w:rsid w:val="006D3E43"/>
    <w:rsid w:val="006D430E"/>
    <w:rsid w:val="006D4CE3"/>
    <w:rsid w:val="006D681F"/>
    <w:rsid w:val="006D6E35"/>
    <w:rsid w:val="006D7B46"/>
    <w:rsid w:val="006E0546"/>
    <w:rsid w:val="006E0F44"/>
    <w:rsid w:val="006E5698"/>
    <w:rsid w:val="006E6B1B"/>
    <w:rsid w:val="006E6B6C"/>
    <w:rsid w:val="006E776E"/>
    <w:rsid w:val="006F00FA"/>
    <w:rsid w:val="006F0227"/>
    <w:rsid w:val="006F06C7"/>
    <w:rsid w:val="006F11EB"/>
    <w:rsid w:val="006F2F06"/>
    <w:rsid w:val="006F32FA"/>
    <w:rsid w:val="006F5696"/>
    <w:rsid w:val="006F587F"/>
    <w:rsid w:val="006F6807"/>
    <w:rsid w:val="006F730C"/>
    <w:rsid w:val="007040D9"/>
    <w:rsid w:val="00705B35"/>
    <w:rsid w:val="00706036"/>
    <w:rsid w:val="00706CB2"/>
    <w:rsid w:val="00707D06"/>
    <w:rsid w:val="007105B1"/>
    <w:rsid w:val="00711718"/>
    <w:rsid w:val="00713267"/>
    <w:rsid w:val="00713E40"/>
    <w:rsid w:val="007147ED"/>
    <w:rsid w:val="00715C48"/>
    <w:rsid w:val="00715FE7"/>
    <w:rsid w:val="00717204"/>
    <w:rsid w:val="00720132"/>
    <w:rsid w:val="00720C83"/>
    <w:rsid w:val="007218DE"/>
    <w:rsid w:val="007225EE"/>
    <w:rsid w:val="00722972"/>
    <w:rsid w:val="007251BD"/>
    <w:rsid w:val="0072521F"/>
    <w:rsid w:val="00726493"/>
    <w:rsid w:val="00726C7B"/>
    <w:rsid w:val="007272D4"/>
    <w:rsid w:val="007273B9"/>
    <w:rsid w:val="00730CAE"/>
    <w:rsid w:val="0073287C"/>
    <w:rsid w:val="0073327C"/>
    <w:rsid w:val="0073377B"/>
    <w:rsid w:val="0073382E"/>
    <w:rsid w:val="00734548"/>
    <w:rsid w:val="00736735"/>
    <w:rsid w:val="007402CA"/>
    <w:rsid w:val="00740743"/>
    <w:rsid w:val="00740F0D"/>
    <w:rsid w:val="00740FD6"/>
    <w:rsid w:val="00741CA3"/>
    <w:rsid w:val="0074212F"/>
    <w:rsid w:val="007442FA"/>
    <w:rsid w:val="007448A6"/>
    <w:rsid w:val="00747B17"/>
    <w:rsid w:val="00747D9D"/>
    <w:rsid w:val="007500D2"/>
    <w:rsid w:val="007509C8"/>
    <w:rsid w:val="00750E6E"/>
    <w:rsid w:val="0075135A"/>
    <w:rsid w:val="007518D6"/>
    <w:rsid w:val="007522E5"/>
    <w:rsid w:val="0075259F"/>
    <w:rsid w:val="00753513"/>
    <w:rsid w:val="007547DA"/>
    <w:rsid w:val="00754CFA"/>
    <w:rsid w:val="007550EC"/>
    <w:rsid w:val="00756ED6"/>
    <w:rsid w:val="00757F21"/>
    <w:rsid w:val="0076135C"/>
    <w:rsid w:val="007617CE"/>
    <w:rsid w:val="00762299"/>
    <w:rsid w:val="0076574F"/>
    <w:rsid w:val="00765EB9"/>
    <w:rsid w:val="00766030"/>
    <w:rsid w:val="00766DB9"/>
    <w:rsid w:val="00770073"/>
    <w:rsid w:val="0077018F"/>
    <w:rsid w:val="00771E4F"/>
    <w:rsid w:val="0077298A"/>
    <w:rsid w:val="007737AA"/>
    <w:rsid w:val="00775564"/>
    <w:rsid w:val="00776955"/>
    <w:rsid w:val="0077710E"/>
    <w:rsid w:val="00777607"/>
    <w:rsid w:val="0077767C"/>
    <w:rsid w:val="00777A64"/>
    <w:rsid w:val="007806EA"/>
    <w:rsid w:val="00780D32"/>
    <w:rsid w:val="00781A7D"/>
    <w:rsid w:val="00781E09"/>
    <w:rsid w:val="00782843"/>
    <w:rsid w:val="00787D73"/>
    <w:rsid w:val="0079221D"/>
    <w:rsid w:val="00795793"/>
    <w:rsid w:val="00795D12"/>
    <w:rsid w:val="007978DE"/>
    <w:rsid w:val="007A291E"/>
    <w:rsid w:val="007A54BA"/>
    <w:rsid w:val="007A583C"/>
    <w:rsid w:val="007A6167"/>
    <w:rsid w:val="007A66D8"/>
    <w:rsid w:val="007A6867"/>
    <w:rsid w:val="007A7B9F"/>
    <w:rsid w:val="007B006B"/>
    <w:rsid w:val="007B01E7"/>
    <w:rsid w:val="007B053B"/>
    <w:rsid w:val="007B0791"/>
    <w:rsid w:val="007B0A17"/>
    <w:rsid w:val="007B2F25"/>
    <w:rsid w:val="007B3B8D"/>
    <w:rsid w:val="007B43DF"/>
    <w:rsid w:val="007B4C1C"/>
    <w:rsid w:val="007B4F50"/>
    <w:rsid w:val="007B50BE"/>
    <w:rsid w:val="007B58B1"/>
    <w:rsid w:val="007B5CBD"/>
    <w:rsid w:val="007B6607"/>
    <w:rsid w:val="007B72B2"/>
    <w:rsid w:val="007B7F5A"/>
    <w:rsid w:val="007C02AF"/>
    <w:rsid w:val="007C1332"/>
    <w:rsid w:val="007C18BF"/>
    <w:rsid w:val="007C27EF"/>
    <w:rsid w:val="007C2931"/>
    <w:rsid w:val="007C32C5"/>
    <w:rsid w:val="007C372B"/>
    <w:rsid w:val="007C52EA"/>
    <w:rsid w:val="007C5387"/>
    <w:rsid w:val="007C67D6"/>
    <w:rsid w:val="007C7A52"/>
    <w:rsid w:val="007C7C20"/>
    <w:rsid w:val="007D0F24"/>
    <w:rsid w:val="007D1402"/>
    <w:rsid w:val="007D2ED4"/>
    <w:rsid w:val="007D32EC"/>
    <w:rsid w:val="007D475A"/>
    <w:rsid w:val="007D5106"/>
    <w:rsid w:val="007D5625"/>
    <w:rsid w:val="007D6375"/>
    <w:rsid w:val="007D685F"/>
    <w:rsid w:val="007D7450"/>
    <w:rsid w:val="007D7570"/>
    <w:rsid w:val="007D7650"/>
    <w:rsid w:val="007E14FB"/>
    <w:rsid w:val="007E1A4F"/>
    <w:rsid w:val="007E1E9F"/>
    <w:rsid w:val="007E2FA7"/>
    <w:rsid w:val="007E3500"/>
    <w:rsid w:val="007E3579"/>
    <w:rsid w:val="007E363D"/>
    <w:rsid w:val="007E41CF"/>
    <w:rsid w:val="007E42E3"/>
    <w:rsid w:val="007E5DD0"/>
    <w:rsid w:val="007E60FA"/>
    <w:rsid w:val="007E6F39"/>
    <w:rsid w:val="007E79B7"/>
    <w:rsid w:val="007F0EA2"/>
    <w:rsid w:val="007F2167"/>
    <w:rsid w:val="007F25C3"/>
    <w:rsid w:val="007F459D"/>
    <w:rsid w:val="007F7AF3"/>
    <w:rsid w:val="007F7DAE"/>
    <w:rsid w:val="00800A00"/>
    <w:rsid w:val="0080386F"/>
    <w:rsid w:val="0080448E"/>
    <w:rsid w:val="008056A1"/>
    <w:rsid w:val="00806B1F"/>
    <w:rsid w:val="00811DCD"/>
    <w:rsid w:val="00811E9F"/>
    <w:rsid w:val="00812A19"/>
    <w:rsid w:val="00813310"/>
    <w:rsid w:val="00813410"/>
    <w:rsid w:val="008136E3"/>
    <w:rsid w:val="00814BBD"/>
    <w:rsid w:val="00815E00"/>
    <w:rsid w:val="00816081"/>
    <w:rsid w:val="0081622D"/>
    <w:rsid w:val="00816DF3"/>
    <w:rsid w:val="00816E4C"/>
    <w:rsid w:val="00817E79"/>
    <w:rsid w:val="00817F15"/>
    <w:rsid w:val="008204D8"/>
    <w:rsid w:val="00820DE7"/>
    <w:rsid w:val="008217CF"/>
    <w:rsid w:val="0082197C"/>
    <w:rsid w:val="00821A1D"/>
    <w:rsid w:val="00824E56"/>
    <w:rsid w:val="00826550"/>
    <w:rsid w:val="0082750D"/>
    <w:rsid w:val="00827CC3"/>
    <w:rsid w:val="008304EC"/>
    <w:rsid w:val="00830BBE"/>
    <w:rsid w:val="00831200"/>
    <w:rsid w:val="008316D5"/>
    <w:rsid w:val="00831989"/>
    <w:rsid w:val="00831AFC"/>
    <w:rsid w:val="0083315B"/>
    <w:rsid w:val="00833CDB"/>
    <w:rsid w:val="00835294"/>
    <w:rsid w:val="00836C04"/>
    <w:rsid w:val="0083773A"/>
    <w:rsid w:val="00837D47"/>
    <w:rsid w:val="00837E30"/>
    <w:rsid w:val="00841A33"/>
    <w:rsid w:val="00842902"/>
    <w:rsid w:val="00847245"/>
    <w:rsid w:val="00847777"/>
    <w:rsid w:val="008477BF"/>
    <w:rsid w:val="0085178D"/>
    <w:rsid w:val="00852362"/>
    <w:rsid w:val="008528B5"/>
    <w:rsid w:val="00852F62"/>
    <w:rsid w:val="00854774"/>
    <w:rsid w:val="008558A9"/>
    <w:rsid w:val="00855DD0"/>
    <w:rsid w:val="00856CD9"/>
    <w:rsid w:val="00857A1C"/>
    <w:rsid w:val="0086086A"/>
    <w:rsid w:val="00860BB0"/>
    <w:rsid w:val="00861EC4"/>
    <w:rsid w:val="0086293C"/>
    <w:rsid w:val="00862F07"/>
    <w:rsid w:val="008641C4"/>
    <w:rsid w:val="00864D1B"/>
    <w:rsid w:val="00864DA5"/>
    <w:rsid w:val="008668BB"/>
    <w:rsid w:val="00867558"/>
    <w:rsid w:val="008705B0"/>
    <w:rsid w:val="008714AA"/>
    <w:rsid w:val="00871B96"/>
    <w:rsid w:val="008745B5"/>
    <w:rsid w:val="00875D41"/>
    <w:rsid w:val="00876AA6"/>
    <w:rsid w:val="00876FF4"/>
    <w:rsid w:val="0087713E"/>
    <w:rsid w:val="00882232"/>
    <w:rsid w:val="0088276F"/>
    <w:rsid w:val="008835A9"/>
    <w:rsid w:val="008846F1"/>
    <w:rsid w:val="0088537A"/>
    <w:rsid w:val="0088584C"/>
    <w:rsid w:val="00886AD0"/>
    <w:rsid w:val="008904AD"/>
    <w:rsid w:val="00892E7D"/>
    <w:rsid w:val="00892FAD"/>
    <w:rsid w:val="008933EF"/>
    <w:rsid w:val="00893AB5"/>
    <w:rsid w:val="00895BEF"/>
    <w:rsid w:val="00895DB7"/>
    <w:rsid w:val="00896A80"/>
    <w:rsid w:val="00897679"/>
    <w:rsid w:val="008A3113"/>
    <w:rsid w:val="008A3A6D"/>
    <w:rsid w:val="008A4C21"/>
    <w:rsid w:val="008A54E3"/>
    <w:rsid w:val="008B0622"/>
    <w:rsid w:val="008B0809"/>
    <w:rsid w:val="008B1B74"/>
    <w:rsid w:val="008B20BD"/>
    <w:rsid w:val="008B4C82"/>
    <w:rsid w:val="008B60BD"/>
    <w:rsid w:val="008B6B2A"/>
    <w:rsid w:val="008B7013"/>
    <w:rsid w:val="008B7895"/>
    <w:rsid w:val="008C28B7"/>
    <w:rsid w:val="008C2C3F"/>
    <w:rsid w:val="008C3145"/>
    <w:rsid w:val="008C4646"/>
    <w:rsid w:val="008C4815"/>
    <w:rsid w:val="008C4CC6"/>
    <w:rsid w:val="008C4F81"/>
    <w:rsid w:val="008C522C"/>
    <w:rsid w:val="008C52EE"/>
    <w:rsid w:val="008C571E"/>
    <w:rsid w:val="008C70C7"/>
    <w:rsid w:val="008C772E"/>
    <w:rsid w:val="008C7C0B"/>
    <w:rsid w:val="008C7CE1"/>
    <w:rsid w:val="008D1225"/>
    <w:rsid w:val="008D1D0E"/>
    <w:rsid w:val="008D1F15"/>
    <w:rsid w:val="008D1F2B"/>
    <w:rsid w:val="008D3B96"/>
    <w:rsid w:val="008D5210"/>
    <w:rsid w:val="008D6416"/>
    <w:rsid w:val="008D652C"/>
    <w:rsid w:val="008D7F6B"/>
    <w:rsid w:val="008E05E9"/>
    <w:rsid w:val="008E0D37"/>
    <w:rsid w:val="008E2D53"/>
    <w:rsid w:val="008E4467"/>
    <w:rsid w:val="008E4CD7"/>
    <w:rsid w:val="008E641D"/>
    <w:rsid w:val="008E660D"/>
    <w:rsid w:val="008E66E5"/>
    <w:rsid w:val="008E7DD4"/>
    <w:rsid w:val="008F056F"/>
    <w:rsid w:val="008F21C1"/>
    <w:rsid w:val="008F305A"/>
    <w:rsid w:val="008F3154"/>
    <w:rsid w:val="008F3465"/>
    <w:rsid w:val="008F3512"/>
    <w:rsid w:val="008F371C"/>
    <w:rsid w:val="008F3D5F"/>
    <w:rsid w:val="008F438E"/>
    <w:rsid w:val="008F66BA"/>
    <w:rsid w:val="008F7D54"/>
    <w:rsid w:val="008F7DD2"/>
    <w:rsid w:val="009004F9"/>
    <w:rsid w:val="0090344A"/>
    <w:rsid w:val="0090383C"/>
    <w:rsid w:val="0090561B"/>
    <w:rsid w:val="009070E0"/>
    <w:rsid w:val="00910139"/>
    <w:rsid w:val="009112B1"/>
    <w:rsid w:val="00913261"/>
    <w:rsid w:val="00913B82"/>
    <w:rsid w:val="00914276"/>
    <w:rsid w:val="009158AA"/>
    <w:rsid w:val="00916549"/>
    <w:rsid w:val="00916DEB"/>
    <w:rsid w:val="00917022"/>
    <w:rsid w:val="00917485"/>
    <w:rsid w:val="00920C84"/>
    <w:rsid w:val="00920F02"/>
    <w:rsid w:val="00922591"/>
    <w:rsid w:val="00922A73"/>
    <w:rsid w:val="00922D02"/>
    <w:rsid w:val="00922E82"/>
    <w:rsid w:val="00926673"/>
    <w:rsid w:val="00926FCA"/>
    <w:rsid w:val="009271A2"/>
    <w:rsid w:val="0093027F"/>
    <w:rsid w:val="0093151B"/>
    <w:rsid w:val="00931738"/>
    <w:rsid w:val="00931B31"/>
    <w:rsid w:val="009325AE"/>
    <w:rsid w:val="00932FDF"/>
    <w:rsid w:val="009346E0"/>
    <w:rsid w:val="009349B5"/>
    <w:rsid w:val="0093602A"/>
    <w:rsid w:val="00940224"/>
    <w:rsid w:val="009402E0"/>
    <w:rsid w:val="009425A7"/>
    <w:rsid w:val="0094265B"/>
    <w:rsid w:val="00942CF7"/>
    <w:rsid w:val="00942E4C"/>
    <w:rsid w:val="00944900"/>
    <w:rsid w:val="00944EA3"/>
    <w:rsid w:val="0094583D"/>
    <w:rsid w:val="00945BCE"/>
    <w:rsid w:val="009474C1"/>
    <w:rsid w:val="00950947"/>
    <w:rsid w:val="009509BD"/>
    <w:rsid w:val="00950C0B"/>
    <w:rsid w:val="00951984"/>
    <w:rsid w:val="0095439B"/>
    <w:rsid w:val="00954EC8"/>
    <w:rsid w:val="009553FC"/>
    <w:rsid w:val="009554DD"/>
    <w:rsid w:val="00957E5D"/>
    <w:rsid w:val="0096009C"/>
    <w:rsid w:val="009624C2"/>
    <w:rsid w:val="0096374D"/>
    <w:rsid w:val="00966DA4"/>
    <w:rsid w:val="00970201"/>
    <w:rsid w:val="00971402"/>
    <w:rsid w:val="00971744"/>
    <w:rsid w:val="00971830"/>
    <w:rsid w:val="00971A5A"/>
    <w:rsid w:val="00972C2E"/>
    <w:rsid w:val="00972EB6"/>
    <w:rsid w:val="0097707B"/>
    <w:rsid w:val="00980A15"/>
    <w:rsid w:val="009846CF"/>
    <w:rsid w:val="00984BF8"/>
    <w:rsid w:val="009850BA"/>
    <w:rsid w:val="00985D75"/>
    <w:rsid w:val="00986146"/>
    <w:rsid w:val="00987534"/>
    <w:rsid w:val="00990E20"/>
    <w:rsid w:val="00990ED9"/>
    <w:rsid w:val="00992888"/>
    <w:rsid w:val="00992AA9"/>
    <w:rsid w:val="009947F1"/>
    <w:rsid w:val="009949CE"/>
    <w:rsid w:val="00994F03"/>
    <w:rsid w:val="009972B4"/>
    <w:rsid w:val="009A01F1"/>
    <w:rsid w:val="009A045C"/>
    <w:rsid w:val="009A081F"/>
    <w:rsid w:val="009A0EB3"/>
    <w:rsid w:val="009A1D3C"/>
    <w:rsid w:val="009A1E77"/>
    <w:rsid w:val="009A2123"/>
    <w:rsid w:val="009A43E6"/>
    <w:rsid w:val="009A47F0"/>
    <w:rsid w:val="009A5D78"/>
    <w:rsid w:val="009A6127"/>
    <w:rsid w:val="009A6C1F"/>
    <w:rsid w:val="009A77F3"/>
    <w:rsid w:val="009A7B25"/>
    <w:rsid w:val="009B05A6"/>
    <w:rsid w:val="009B0BA2"/>
    <w:rsid w:val="009B1322"/>
    <w:rsid w:val="009B2029"/>
    <w:rsid w:val="009B27DF"/>
    <w:rsid w:val="009B2ABB"/>
    <w:rsid w:val="009B3429"/>
    <w:rsid w:val="009B387F"/>
    <w:rsid w:val="009B5848"/>
    <w:rsid w:val="009B6103"/>
    <w:rsid w:val="009B6310"/>
    <w:rsid w:val="009B6859"/>
    <w:rsid w:val="009B6E90"/>
    <w:rsid w:val="009B7E61"/>
    <w:rsid w:val="009C0395"/>
    <w:rsid w:val="009C0670"/>
    <w:rsid w:val="009C0DB6"/>
    <w:rsid w:val="009C2D4D"/>
    <w:rsid w:val="009C3F50"/>
    <w:rsid w:val="009C4DDA"/>
    <w:rsid w:val="009C56B9"/>
    <w:rsid w:val="009C60FB"/>
    <w:rsid w:val="009C61D4"/>
    <w:rsid w:val="009C6A99"/>
    <w:rsid w:val="009C6D41"/>
    <w:rsid w:val="009C7432"/>
    <w:rsid w:val="009C750F"/>
    <w:rsid w:val="009C796D"/>
    <w:rsid w:val="009D18C6"/>
    <w:rsid w:val="009D1DA9"/>
    <w:rsid w:val="009D3922"/>
    <w:rsid w:val="009D4471"/>
    <w:rsid w:val="009D4775"/>
    <w:rsid w:val="009D4AE0"/>
    <w:rsid w:val="009D56BB"/>
    <w:rsid w:val="009D6DFE"/>
    <w:rsid w:val="009D771F"/>
    <w:rsid w:val="009E191B"/>
    <w:rsid w:val="009E2771"/>
    <w:rsid w:val="009E322F"/>
    <w:rsid w:val="009E4300"/>
    <w:rsid w:val="009E4DF6"/>
    <w:rsid w:val="009E58C7"/>
    <w:rsid w:val="009E6334"/>
    <w:rsid w:val="009E7251"/>
    <w:rsid w:val="009E7A57"/>
    <w:rsid w:val="009E7EE6"/>
    <w:rsid w:val="009F1542"/>
    <w:rsid w:val="009F1734"/>
    <w:rsid w:val="009F2E83"/>
    <w:rsid w:val="009F3B03"/>
    <w:rsid w:val="009F4E51"/>
    <w:rsid w:val="009F652E"/>
    <w:rsid w:val="009F669E"/>
    <w:rsid w:val="009F6ED1"/>
    <w:rsid w:val="009F7467"/>
    <w:rsid w:val="00A00155"/>
    <w:rsid w:val="00A01043"/>
    <w:rsid w:val="00A0126B"/>
    <w:rsid w:val="00A01720"/>
    <w:rsid w:val="00A02454"/>
    <w:rsid w:val="00A02548"/>
    <w:rsid w:val="00A02D52"/>
    <w:rsid w:val="00A03A7D"/>
    <w:rsid w:val="00A03B4A"/>
    <w:rsid w:val="00A04AA5"/>
    <w:rsid w:val="00A072C1"/>
    <w:rsid w:val="00A07B14"/>
    <w:rsid w:val="00A113B3"/>
    <w:rsid w:val="00A11694"/>
    <w:rsid w:val="00A12A17"/>
    <w:rsid w:val="00A12F12"/>
    <w:rsid w:val="00A134B2"/>
    <w:rsid w:val="00A139E6"/>
    <w:rsid w:val="00A14C28"/>
    <w:rsid w:val="00A16061"/>
    <w:rsid w:val="00A16582"/>
    <w:rsid w:val="00A16772"/>
    <w:rsid w:val="00A16E83"/>
    <w:rsid w:val="00A17085"/>
    <w:rsid w:val="00A2036F"/>
    <w:rsid w:val="00A21509"/>
    <w:rsid w:val="00A22BC9"/>
    <w:rsid w:val="00A24769"/>
    <w:rsid w:val="00A250DA"/>
    <w:rsid w:val="00A25620"/>
    <w:rsid w:val="00A2662F"/>
    <w:rsid w:val="00A26E55"/>
    <w:rsid w:val="00A27D3E"/>
    <w:rsid w:val="00A31EA1"/>
    <w:rsid w:val="00A31ED2"/>
    <w:rsid w:val="00A31F1F"/>
    <w:rsid w:val="00A32146"/>
    <w:rsid w:val="00A331B3"/>
    <w:rsid w:val="00A33C7F"/>
    <w:rsid w:val="00A33FE0"/>
    <w:rsid w:val="00A35768"/>
    <w:rsid w:val="00A36146"/>
    <w:rsid w:val="00A36D05"/>
    <w:rsid w:val="00A377EF"/>
    <w:rsid w:val="00A42017"/>
    <w:rsid w:val="00A4272C"/>
    <w:rsid w:val="00A428EA"/>
    <w:rsid w:val="00A43172"/>
    <w:rsid w:val="00A43A21"/>
    <w:rsid w:val="00A446B7"/>
    <w:rsid w:val="00A45306"/>
    <w:rsid w:val="00A45A73"/>
    <w:rsid w:val="00A46106"/>
    <w:rsid w:val="00A47E87"/>
    <w:rsid w:val="00A47ED7"/>
    <w:rsid w:val="00A47F97"/>
    <w:rsid w:val="00A5258C"/>
    <w:rsid w:val="00A526BF"/>
    <w:rsid w:val="00A538EB"/>
    <w:rsid w:val="00A541BE"/>
    <w:rsid w:val="00A57180"/>
    <w:rsid w:val="00A6060F"/>
    <w:rsid w:val="00A60BE4"/>
    <w:rsid w:val="00A6169A"/>
    <w:rsid w:val="00A628ED"/>
    <w:rsid w:val="00A65364"/>
    <w:rsid w:val="00A654C1"/>
    <w:rsid w:val="00A65A24"/>
    <w:rsid w:val="00A66322"/>
    <w:rsid w:val="00A6632D"/>
    <w:rsid w:val="00A67605"/>
    <w:rsid w:val="00A67CA0"/>
    <w:rsid w:val="00A70308"/>
    <w:rsid w:val="00A7097C"/>
    <w:rsid w:val="00A712FA"/>
    <w:rsid w:val="00A71A85"/>
    <w:rsid w:val="00A72138"/>
    <w:rsid w:val="00A7271F"/>
    <w:rsid w:val="00A7430F"/>
    <w:rsid w:val="00A756FC"/>
    <w:rsid w:val="00A763B2"/>
    <w:rsid w:val="00A77112"/>
    <w:rsid w:val="00A77A56"/>
    <w:rsid w:val="00A80438"/>
    <w:rsid w:val="00A818B5"/>
    <w:rsid w:val="00A81BA4"/>
    <w:rsid w:val="00A824FF"/>
    <w:rsid w:val="00A82FDB"/>
    <w:rsid w:val="00A839BC"/>
    <w:rsid w:val="00A841EE"/>
    <w:rsid w:val="00A843ED"/>
    <w:rsid w:val="00A85A0C"/>
    <w:rsid w:val="00A866D6"/>
    <w:rsid w:val="00A867D8"/>
    <w:rsid w:val="00A90878"/>
    <w:rsid w:val="00A92684"/>
    <w:rsid w:val="00A93C69"/>
    <w:rsid w:val="00A93EE1"/>
    <w:rsid w:val="00A94509"/>
    <w:rsid w:val="00A947BE"/>
    <w:rsid w:val="00A948B1"/>
    <w:rsid w:val="00A95790"/>
    <w:rsid w:val="00A969DE"/>
    <w:rsid w:val="00A97396"/>
    <w:rsid w:val="00A97565"/>
    <w:rsid w:val="00AA0D88"/>
    <w:rsid w:val="00AA1E13"/>
    <w:rsid w:val="00AA1FEB"/>
    <w:rsid w:val="00AA24CB"/>
    <w:rsid w:val="00AA4832"/>
    <w:rsid w:val="00AA52B4"/>
    <w:rsid w:val="00AA5A2D"/>
    <w:rsid w:val="00AA7982"/>
    <w:rsid w:val="00AB14E0"/>
    <w:rsid w:val="00AB1FF4"/>
    <w:rsid w:val="00AB3527"/>
    <w:rsid w:val="00AB38CA"/>
    <w:rsid w:val="00AB511C"/>
    <w:rsid w:val="00AB60E2"/>
    <w:rsid w:val="00AB6456"/>
    <w:rsid w:val="00AB6AEF"/>
    <w:rsid w:val="00AB7107"/>
    <w:rsid w:val="00AB7139"/>
    <w:rsid w:val="00AB7C34"/>
    <w:rsid w:val="00AC14D1"/>
    <w:rsid w:val="00AC22A0"/>
    <w:rsid w:val="00AC392D"/>
    <w:rsid w:val="00AC3C2E"/>
    <w:rsid w:val="00AC488B"/>
    <w:rsid w:val="00AC4CC9"/>
    <w:rsid w:val="00AC5D60"/>
    <w:rsid w:val="00AC6957"/>
    <w:rsid w:val="00AC76F5"/>
    <w:rsid w:val="00AD2869"/>
    <w:rsid w:val="00AD2B96"/>
    <w:rsid w:val="00AD478B"/>
    <w:rsid w:val="00AD5A34"/>
    <w:rsid w:val="00AD5F18"/>
    <w:rsid w:val="00AE0F11"/>
    <w:rsid w:val="00AE1C47"/>
    <w:rsid w:val="00AE1E2E"/>
    <w:rsid w:val="00AE2057"/>
    <w:rsid w:val="00AE2820"/>
    <w:rsid w:val="00AE2BAB"/>
    <w:rsid w:val="00AE33ED"/>
    <w:rsid w:val="00AE5BDE"/>
    <w:rsid w:val="00AF044A"/>
    <w:rsid w:val="00AF0FF7"/>
    <w:rsid w:val="00AF1F2F"/>
    <w:rsid w:val="00AF2E25"/>
    <w:rsid w:val="00AF42FD"/>
    <w:rsid w:val="00AF59E7"/>
    <w:rsid w:val="00AF6265"/>
    <w:rsid w:val="00AF6BB4"/>
    <w:rsid w:val="00AF7523"/>
    <w:rsid w:val="00B018BC"/>
    <w:rsid w:val="00B0260E"/>
    <w:rsid w:val="00B02A35"/>
    <w:rsid w:val="00B04C55"/>
    <w:rsid w:val="00B0682B"/>
    <w:rsid w:val="00B07CDD"/>
    <w:rsid w:val="00B07E11"/>
    <w:rsid w:val="00B10547"/>
    <w:rsid w:val="00B113CC"/>
    <w:rsid w:val="00B11456"/>
    <w:rsid w:val="00B114A3"/>
    <w:rsid w:val="00B1195C"/>
    <w:rsid w:val="00B11981"/>
    <w:rsid w:val="00B11A9E"/>
    <w:rsid w:val="00B12D4D"/>
    <w:rsid w:val="00B13220"/>
    <w:rsid w:val="00B1431D"/>
    <w:rsid w:val="00B1679C"/>
    <w:rsid w:val="00B16EAB"/>
    <w:rsid w:val="00B16F27"/>
    <w:rsid w:val="00B1771C"/>
    <w:rsid w:val="00B17B88"/>
    <w:rsid w:val="00B20597"/>
    <w:rsid w:val="00B20ADD"/>
    <w:rsid w:val="00B20B1F"/>
    <w:rsid w:val="00B21A44"/>
    <w:rsid w:val="00B21A9F"/>
    <w:rsid w:val="00B21BF0"/>
    <w:rsid w:val="00B21BF2"/>
    <w:rsid w:val="00B227CC"/>
    <w:rsid w:val="00B239FA"/>
    <w:rsid w:val="00B23A59"/>
    <w:rsid w:val="00B23BDF"/>
    <w:rsid w:val="00B25705"/>
    <w:rsid w:val="00B25807"/>
    <w:rsid w:val="00B25DA6"/>
    <w:rsid w:val="00B25E64"/>
    <w:rsid w:val="00B26EA4"/>
    <w:rsid w:val="00B35742"/>
    <w:rsid w:val="00B35D64"/>
    <w:rsid w:val="00B3628F"/>
    <w:rsid w:val="00B36379"/>
    <w:rsid w:val="00B363FB"/>
    <w:rsid w:val="00B364E8"/>
    <w:rsid w:val="00B372D9"/>
    <w:rsid w:val="00B37E5E"/>
    <w:rsid w:val="00B407F7"/>
    <w:rsid w:val="00B40CCB"/>
    <w:rsid w:val="00B41CF3"/>
    <w:rsid w:val="00B42A7F"/>
    <w:rsid w:val="00B42B1C"/>
    <w:rsid w:val="00B43812"/>
    <w:rsid w:val="00B43F5D"/>
    <w:rsid w:val="00B44032"/>
    <w:rsid w:val="00B45E12"/>
    <w:rsid w:val="00B468AF"/>
    <w:rsid w:val="00B519C5"/>
    <w:rsid w:val="00B51B78"/>
    <w:rsid w:val="00B528CF"/>
    <w:rsid w:val="00B53C22"/>
    <w:rsid w:val="00B53F3F"/>
    <w:rsid w:val="00B540E7"/>
    <w:rsid w:val="00B541B9"/>
    <w:rsid w:val="00B55791"/>
    <w:rsid w:val="00B55BBD"/>
    <w:rsid w:val="00B56AC9"/>
    <w:rsid w:val="00B600D9"/>
    <w:rsid w:val="00B61465"/>
    <w:rsid w:val="00B6397D"/>
    <w:rsid w:val="00B6405A"/>
    <w:rsid w:val="00B64466"/>
    <w:rsid w:val="00B653BC"/>
    <w:rsid w:val="00B65763"/>
    <w:rsid w:val="00B66AB4"/>
    <w:rsid w:val="00B67AC9"/>
    <w:rsid w:val="00B67CFF"/>
    <w:rsid w:val="00B7072F"/>
    <w:rsid w:val="00B726BD"/>
    <w:rsid w:val="00B72966"/>
    <w:rsid w:val="00B745B1"/>
    <w:rsid w:val="00B77A7D"/>
    <w:rsid w:val="00B77D1D"/>
    <w:rsid w:val="00B80104"/>
    <w:rsid w:val="00B805E4"/>
    <w:rsid w:val="00B80DAE"/>
    <w:rsid w:val="00B811D6"/>
    <w:rsid w:val="00B814E7"/>
    <w:rsid w:val="00B82698"/>
    <w:rsid w:val="00B8272E"/>
    <w:rsid w:val="00B833BF"/>
    <w:rsid w:val="00B84B85"/>
    <w:rsid w:val="00B84C76"/>
    <w:rsid w:val="00B853DA"/>
    <w:rsid w:val="00B86576"/>
    <w:rsid w:val="00B86DCD"/>
    <w:rsid w:val="00B87BF6"/>
    <w:rsid w:val="00B87DCC"/>
    <w:rsid w:val="00B907DF"/>
    <w:rsid w:val="00B90804"/>
    <w:rsid w:val="00B92080"/>
    <w:rsid w:val="00B932C4"/>
    <w:rsid w:val="00B93856"/>
    <w:rsid w:val="00B94394"/>
    <w:rsid w:val="00B950AD"/>
    <w:rsid w:val="00B9607F"/>
    <w:rsid w:val="00B9731F"/>
    <w:rsid w:val="00BA0346"/>
    <w:rsid w:val="00BA0CCD"/>
    <w:rsid w:val="00BA18FE"/>
    <w:rsid w:val="00BA1DE7"/>
    <w:rsid w:val="00BA2435"/>
    <w:rsid w:val="00BA3742"/>
    <w:rsid w:val="00BA525E"/>
    <w:rsid w:val="00BA55C5"/>
    <w:rsid w:val="00BA6CC7"/>
    <w:rsid w:val="00BA6FDB"/>
    <w:rsid w:val="00BA7021"/>
    <w:rsid w:val="00BA7C2B"/>
    <w:rsid w:val="00BA7DA0"/>
    <w:rsid w:val="00BA7EC6"/>
    <w:rsid w:val="00BB0945"/>
    <w:rsid w:val="00BB43D3"/>
    <w:rsid w:val="00BB4A5F"/>
    <w:rsid w:val="00BB4D31"/>
    <w:rsid w:val="00BB662B"/>
    <w:rsid w:val="00BB7097"/>
    <w:rsid w:val="00BB7392"/>
    <w:rsid w:val="00BB7EF4"/>
    <w:rsid w:val="00BC079B"/>
    <w:rsid w:val="00BC1D50"/>
    <w:rsid w:val="00BC2298"/>
    <w:rsid w:val="00BC4B77"/>
    <w:rsid w:val="00BC4EB6"/>
    <w:rsid w:val="00BC4FB5"/>
    <w:rsid w:val="00BD0271"/>
    <w:rsid w:val="00BD13D6"/>
    <w:rsid w:val="00BD158F"/>
    <w:rsid w:val="00BD17AA"/>
    <w:rsid w:val="00BD1804"/>
    <w:rsid w:val="00BD21F3"/>
    <w:rsid w:val="00BD2401"/>
    <w:rsid w:val="00BD2932"/>
    <w:rsid w:val="00BD294F"/>
    <w:rsid w:val="00BD3A58"/>
    <w:rsid w:val="00BD3C74"/>
    <w:rsid w:val="00BD3EDC"/>
    <w:rsid w:val="00BD5205"/>
    <w:rsid w:val="00BD67C7"/>
    <w:rsid w:val="00BD739D"/>
    <w:rsid w:val="00BE0246"/>
    <w:rsid w:val="00BE10DD"/>
    <w:rsid w:val="00BE1824"/>
    <w:rsid w:val="00BE3B85"/>
    <w:rsid w:val="00BE423B"/>
    <w:rsid w:val="00BE465C"/>
    <w:rsid w:val="00BE4990"/>
    <w:rsid w:val="00BE7015"/>
    <w:rsid w:val="00BE7D0B"/>
    <w:rsid w:val="00BF30BE"/>
    <w:rsid w:val="00BF3810"/>
    <w:rsid w:val="00BF4273"/>
    <w:rsid w:val="00BF447E"/>
    <w:rsid w:val="00BF567D"/>
    <w:rsid w:val="00BF6DB1"/>
    <w:rsid w:val="00C01755"/>
    <w:rsid w:val="00C027BF"/>
    <w:rsid w:val="00C036D9"/>
    <w:rsid w:val="00C05723"/>
    <w:rsid w:val="00C06DC6"/>
    <w:rsid w:val="00C1009A"/>
    <w:rsid w:val="00C10135"/>
    <w:rsid w:val="00C103AF"/>
    <w:rsid w:val="00C10AB7"/>
    <w:rsid w:val="00C1124D"/>
    <w:rsid w:val="00C118B3"/>
    <w:rsid w:val="00C122C6"/>
    <w:rsid w:val="00C133E4"/>
    <w:rsid w:val="00C133E7"/>
    <w:rsid w:val="00C13BE5"/>
    <w:rsid w:val="00C15A80"/>
    <w:rsid w:val="00C16962"/>
    <w:rsid w:val="00C16C27"/>
    <w:rsid w:val="00C1753B"/>
    <w:rsid w:val="00C20017"/>
    <w:rsid w:val="00C20615"/>
    <w:rsid w:val="00C21F0D"/>
    <w:rsid w:val="00C22F62"/>
    <w:rsid w:val="00C23589"/>
    <w:rsid w:val="00C24C68"/>
    <w:rsid w:val="00C24F14"/>
    <w:rsid w:val="00C251B7"/>
    <w:rsid w:val="00C256D7"/>
    <w:rsid w:val="00C26BF6"/>
    <w:rsid w:val="00C27038"/>
    <w:rsid w:val="00C31BA5"/>
    <w:rsid w:val="00C3214A"/>
    <w:rsid w:val="00C32AA5"/>
    <w:rsid w:val="00C33426"/>
    <w:rsid w:val="00C34633"/>
    <w:rsid w:val="00C349E8"/>
    <w:rsid w:val="00C352EC"/>
    <w:rsid w:val="00C35459"/>
    <w:rsid w:val="00C36621"/>
    <w:rsid w:val="00C40F2B"/>
    <w:rsid w:val="00C42257"/>
    <w:rsid w:val="00C4247A"/>
    <w:rsid w:val="00C42505"/>
    <w:rsid w:val="00C44691"/>
    <w:rsid w:val="00C46101"/>
    <w:rsid w:val="00C46231"/>
    <w:rsid w:val="00C46887"/>
    <w:rsid w:val="00C47F3D"/>
    <w:rsid w:val="00C5255D"/>
    <w:rsid w:val="00C5270F"/>
    <w:rsid w:val="00C53BC6"/>
    <w:rsid w:val="00C54416"/>
    <w:rsid w:val="00C54DA6"/>
    <w:rsid w:val="00C55787"/>
    <w:rsid w:val="00C57059"/>
    <w:rsid w:val="00C609A5"/>
    <w:rsid w:val="00C61F15"/>
    <w:rsid w:val="00C620F4"/>
    <w:rsid w:val="00C62769"/>
    <w:rsid w:val="00C632A2"/>
    <w:rsid w:val="00C64A64"/>
    <w:rsid w:val="00C64FC7"/>
    <w:rsid w:val="00C654B8"/>
    <w:rsid w:val="00C655A8"/>
    <w:rsid w:val="00C660A0"/>
    <w:rsid w:val="00C66134"/>
    <w:rsid w:val="00C66464"/>
    <w:rsid w:val="00C702D6"/>
    <w:rsid w:val="00C70BDA"/>
    <w:rsid w:val="00C723F9"/>
    <w:rsid w:val="00C72BCD"/>
    <w:rsid w:val="00C73A0A"/>
    <w:rsid w:val="00C763D3"/>
    <w:rsid w:val="00C76904"/>
    <w:rsid w:val="00C7765B"/>
    <w:rsid w:val="00C77983"/>
    <w:rsid w:val="00C779E3"/>
    <w:rsid w:val="00C818B5"/>
    <w:rsid w:val="00C8243D"/>
    <w:rsid w:val="00C83326"/>
    <w:rsid w:val="00C839C7"/>
    <w:rsid w:val="00C83B36"/>
    <w:rsid w:val="00C852D4"/>
    <w:rsid w:val="00C8560B"/>
    <w:rsid w:val="00C87E2D"/>
    <w:rsid w:val="00C908AE"/>
    <w:rsid w:val="00C909C0"/>
    <w:rsid w:val="00C90DAF"/>
    <w:rsid w:val="00C90EA8"/>
    <w:rsid w:val="00C916B4"/>
    <w:rsid w:val="00C91BD8"/>
    <w:rsid w:val="00C9597C"/>
    <w:rsid w:val="00C9627B"/>
    <w:rsid w:val="00C962F1"/>
    <w:rsid w:val="00C9657E"/>
    <w:rsid w:val="00C9692E"/>
    <w:rsid w:val="00C9773F"/>
    <w:rsid w:val="00CA13DB"/>
    <w:rsid w:val="00CA1F7A"/>
    <w:rsid w:val="00CA2EAA"/>
    <w:rsid w:val="00CA3848"/>
    <w:rsid w:val="00CA3EDB"/>
    <w:rsid w:val="00CA4F9B"/>
    <w:rsid w:val="00CA58E8"/>
    <w:rsid w:val="00CA5F96"/>
    <w:rsid w:val="00CA637F"/>
    <w:rsid w:val="00CA6C44"/>
    <w:rsid w:val="00CA6DD5"/>
    <w:rsid w:val="00CA7170"/>
    <w:rsid w:val="00CA738A"/>
    <w:rsid w:val="00CA7753"/>
    <w:rsid w:val="00CA7E0E"/>
    <w:rsid w:val="00CB06AB"/>
    <w:rsid w:val="00CB0E75"/>
    <w:rsid w:val="00CB1504"/>
    <w:rsid w:val="00CB2742"/>
    <w:rsid w:val="00CB307D"/>
    <w:rsid w:val="00CB36B3"/>
    <w:rsid w:val="00CB387F"/>
    <w:rsid w:val="00CB5F69"/>
    <w:rsid w:val="00CB763B"/>
    <w:rsid w:val="00CC08EE"/>
    <w:rsid w:val="00CC08F1"/>
    <w:rsid w:val="00CC1B54"/>
    <w:rsid w:val="00CC320A"/>
    <w:rsid w:val="00CC56F4"/>
    <w:rsid w:val="00CC5B2C"/>
    <w:rsid w:val="00CC627C"/>
    <w:rsid w:val="00CC662B"/>
    <w:rsid w:val="00CC745B"/>
    <w:rsid w:val="00CD0317"/>
    <w:rsid w:val="00CD0A5D"/>
    <w:rsid w:val="00CD2680"/>
    <w:rsid w:val="00CD3000"/>
    <w:rsid w:val="00CD3559"/>
    <w:rsid w:val="00CD38BD"/>
    <w:rsid w:val="00CD4212"/>
    <w:rsid w:val="00CD49AE"/>
    <w:rsid w:val="00CD5296"/>
    <w:rsid w:val="00CD7058"/>
    <w:rsid w:val="00CE02B0"/>
    <w:rsid w:val="00CE03CA"/>
    <w:rsid w:val="00CE0764"/>
    <w:rsid w:val="00CE1721"/>
    <w:rsid w:val="00CE2E5E"/>
    <w:rsid w:val="00CE3F98"/>
    <w:rsid w:val="00CE4665"/>
    <w:rsid w:val="00CE4A4A"/>
    <w:rsid w:val="00CE4B31"/>
    <w:rsid w:val="00CE5886"/>
    <w:rsid w:val="00CE701B"/>
    <w:rsid w:val="00CE7331"/>
    <w:rsid w:val="00CE7473"/>
    <w:rsid w:val="00CF0732"/>
    <w:rsid w:val="00CF1126"/>
    <w:rsid w:val="00CF24AD"/>
    <w:rsid w:val="00CF2FEF"/>
    <w:rsid w:val="00CF4273"/>
    <w:rsid w:val="00CF49C3"/>
    <w:rsid w:val="00CF5FBE"/>
    <w:rsid w:val="00CF6275"/>
    <w:rsid w:val="00CF7606"/>
    <w:rsid w:val="00CF77D6"/>
    <w:rsid w:val="00D00889"/>
    <w:rsid w:val="00D01238"/>
    <w:rsid w:val="00D01E89"/>
    <w:rsid w:val="00D0202D"/>
    <w:rsid w:val="00D028C3"/>
    <w:rsid w:val="00D03781"/>
    <w:rsid w:val="00D0450A"/>
    <w:rsid w:val="00D062B9"/>
    <w:rsid w:val="00D065DA"/>
    <w:rsid w:val="00D06E1E"/>
    <w:rsid w:val="00D1018B"/>
    <w:rsid w:val="00D10A04"/>
    <w:rsid w:val="00D128D7"/>
    <w:rsid w:val="00D131E9"/>
    <w:rsid w:val="00D1471A"/>
    <w:rsid w:val="00D152D9"/>
    <w:rsid w:val="00D15BC3"/>
    <w:rsid w:val="00D16328"/>
    <w:rsid w:val="00D16FF9"/>
    <w:rsid w:val="00D17D88"/>
    <w:rsid w:val="00D17DF9"/>
    <w:rsid w:val="00D2167C"/>
    <w:rsid w:val="00D2282C"/>
    <w:rsid w:val="00D22F0B"/>
    <w:rsid w:val="00D23D1F"/>
    <w:rsid w:val="00D24C21"/>
    <w:rsid w:val="00D26BBF"/>
    <w:rsid w:val="00D26E9C"/>
    <w:rsid w:val="00D27BC8"/>
    <w:rsid w:val="00D316FE"/>
    <w:rsid w:val="00D3262D"/>
    <w:rsid w:val="00D32A6A"/>
    <w:rsid w:val="00D34976"/>
    <w:rsid w:val="00D35EDA"/>
    <w:rsid w:val="00D36D16"/>
    <w:rsid w:val="00D379DA"/>
    <w:rsid w:val="00D41955"/>
    <w:rsid w:val="00D41CEF"/>
    <w:rsid w:val="00D42A9B"/>
    <w:rsid w:val="00D436B0"/>
    <w:rsid w:val="00D43EC5"/>
    <w:rsid w:val="00D44378"/>
    <w:rsid w:val="00D44C7A"/>
    <w:rsid w:val="00D44E9F"/>
    <w:rsid w:val="00D46528"/>
    <w:rsid w:val="00D47EDA"/>
    <w:rsid w:val="00D507E7"/>
    <w:rsid w:val="00D516BE"/>
    <w:rsid w:val="00D521CB"/>
    <w:rsid w:val="00D52596"/>
    <w:rsid w:val="00D53811"/>
    <w:rsid w:val="00D53DAE"/>
    <w:rsid w:val="00D543C1"/>
    <w:rsid w:val="00D54667"/>
    <w:rsid w:val="00D5516F"/>
    <w:rsid w:val="00D554B6"/>
    <w:rsid w:val="00D566D4"/>
    <w:rsid w:val="00D604C1"/>
    <w:rsid w:val="00D62698"/>
    <w:rsid w:val="00D62831"/>
    <w:rsid w:val="00D62DC1"/>
    <w:rsid w:val="00D641AA"/>
    <w:rsid w:val="00D64AD2"/>
    <w:rsid w:val="00D65F6E"/>
    <w:rsid w:val="00D702D2"/>
    <w:rsid w:val="00D7034F"/>
    <w:rsid w:val="00D70AD3"/>
    <w:rsid w:val="00D70DF4"/>
    <w:rsid w:val="00D72D6A"/>
    <w:rsid w:val="00D733A1"/>
    <w:rsid w:val="00D74300"/>
    <w:rsid w:val="00D75A3C"/>
    <w:rsid w:val="00D76680"/>
    <w:rsid w:val="00D802C2"/>
    <w:rsid w:val="00D803BC"/>
    <w:rsid w:val="00D81D55"/>
    <w:rsid w:val="00D81F28"/>
    <w:rsid w:val="00D8253A"/>
    <w:rsid w:val="00D82FC4"/>
    <w:rsid w:val="00D83FF9"/>
    <w:rsid w:val="00D849C0"/>
    <w:rsid w:val="00D84DBD"/>
    <w:rsid w:val="00D85988"/>
    <w:rsid w:val="00D860A8"/>
    <w:rsid w:val="00D86166"/>
    <w:rsid w:val="00D86C8B"/>
    <w:rsid w:val="00D8737F"/>
    <w:rsid w:val="00D87764"/>
    <w:rsid w:val="00D90E79"/>
    <w:rsid w:val="00D92B64"/>
    <w:rsid w:val="00D93E39"/>
    <w:rsid w:val="00D940CE"/>
    <w:rsid w:val="00D95A74"/>
    <w:rsid w:val="00D96803"/>
    <w:rsid w:val="00D96A40"/>
    <w:rsid w:val="00D96B14"/>
    <w:rsid w:val="00D96F38"/>
    <w:rsid w:val="00D97978"/>
    <w:rsid w:val="00D97F13"/>
    <w:rsid w:val="00DA0A08"/>
    <w:rsid w:val="00DA0CAA"/>
    <w:rsid w:val="00DA171F"/>
    <w:rsid w:val="00DA183F"/>
    <w:rsid w:val="00DA22E7"/>
    <w:rsid w:val="00DA2E0B"/>
    <w:rsid w:val="00DA347F"/>
    <w:rsid w:val="00DA445D"/>
    <w:rsid w:val="00DA701D"/>
    <w:rsid w:val="00DB0890"/>
    <w:rsid w:val="00DB0B04"/>
    <w:rsid w:val="00DB2049"/>
    <w:rsid w:val="00DB2710"/>
    <w:rsid w:val="00DB32C8"/>
    <w:rsid w:val="00DB348A"/>
    <w:rsid w:val="00DB3916"/>
    <w:rsid w:val="00DB3B2C"/>
    <w:rsid w:val="00DB5405"/>
    <w:rsid w:val="00DB548B"/>
    <w:rsid w:val="00DB59BA"/>
    <w:rsid w:val="00DB689E"/>
    <w:rsid w:val="00DB751D"/>
    <w:rsid w:val="00DC0491"/>
    <w:rsid w:val="00DC09E2"/>
    <w:rsid w:val="00DC23E3"/>
    <w:rsid w:val="00DC3596"/>
    <w:rsid w:val="00DC5559"/>
    <w:rsid w:val="00DC5BE7"/>
    <w:rsid w:val="00DC5EAF"/>
    <w:rsid w:val="00DD19FE"/>
    <w:rsid w:val="00DD203D"/>
    <w:rsid w:val="00DD216E"/>
    <w:rsid w:val="00DD2D22"/>
    <w:rsid w:val="00DD463B"/>
    <w:rsid w:val="00DD5E88"/>
    <w:rsid w:val="00DD6531"/>
    <w:rsid w:val="00DD68D0"/>
    <w:rsid w:val="00DD7BA3"/>
    <w:rsid w:val="00DE0003"/>
    <w:rsid w:val="00DE0119"/>
    <w:rsid w:val="00DE05C2"/>
    <w:rsid w:val="00DE0E79"/>
    <w:rsid w:val="00DE1CCB"/>
    <w:rsid w:val="00DE2AF3"/>
    <w:rsid w:val="00DE4B3D"/>
    <w:rsid w:val="00DE7027"/>
    <w:rsid w:val="00DE7B3D"/>
    <w:rsid w:val="00DF2C51"/>
    <w:rsid w:val="00DF4282"/>
    <w:rsid w:val="00DF4DB1"/>
    <w:rsid w:val="00DF4F75"/>
    <w:rsid w:val="00DF61AF"/>
    <w:rsid w:val="00DF79C0"/>
    <w:rsid w:val="00DF7E39"/>
    <w:rsid w:val="00E00787"/>
    <w:rsid w:val="00E00B96"/>
    <w:rsid w:val="00E010D2"/>
    <w:rsid w:val="00E021D8"/>
    <w:rsid w:val="00E0264D"/>
    <w:rsid w:val="00E03B3D"/>
    <w:rsid w:val="00E04240"/>
    <w:rsid w:val="00E05C6B"/>
    <w:rsid w:val="00E07645"/>
    <w:rsid w:val="00E10C48"/>
    <w:rsid w:val="00E10EB8"/>
    <w:rsid w:val="00E11027"/>
    <w:rsid w:val="00E118E0"/>
    <w:rsid w:val="00E12966"/>
    <w:rsid w:val="00E129DE"/>
    <w:rsid w:val="00E13C8B"/>
    <w:rsid w:val="00E14292"/>
    <w:rsid w:val="00E14BDC"/>
    <w:rsid w:val="00E14E4F"/>
    <w:rsid w:val="00E150CB"/>
    <w:rsid w:val="00E15476"/>
    <w:rsid w:val="00E15592"/>
    <w:rsid w:val="00E1563B"/>
    <w:rsid w:val="00E15721"/>
    <w:rsid w:val="00E15C7D"/>
    <w:rsid w:val="00E15ED5"/>
    <w:rsid w:val="00E16038"/>
    <w:rsid w:val="00E1633B"/>
    <w:rsid w:val="00E167E1"/>
    <w:rsid w:val="00E17832"/>
    <w:rsid w:val="00E21C48"/>
    <w:rsid w:val="00E23764"/>
    <w:rsid w:val="00E25497"/>
    <w:rsid w:val="00E25BD9"/>
    <w:rsid w:val="00E26147"/>
    <w:rsid w:val="00E263F0"/>
    <w:rsid w:val="00E2730C"/>
    <w:rsid w:val="00E3101C"/>
    <w:rsid w:val="00E32479"/>
    <w:rsid w:val="00E324A0"/>
    <w:rsid w:val="00E32E2A"/>
    <w:rsid w:val="00E3342C"/>
    <w:rsid w:val="00E344DD"/>
    <w:rsid w:val="00E34D03"/>
    <w:rsid w:val="00E35D00"/>
    <w:rsid w:val="00E3666B"/>
    <w:rsid w:val="00E36952"/>
    <w:rsid w:val="00E36DE6"/>
    <w:rsid w:val="00E372B5"/>
    <w:rsid w:val="00E37C9E"/>
    <w:rsid w:val="00E40337"/>
    <w:rsid w:val="00E40635"/>
    <w:rsid w:val="00E41BE8"/>
    <w:rsid w:val="00E41D55"/>
    <w:rsid w:val="00E43350"/>
    <w:rsid w:val="00E43737"/>
    <w:rsid w:val="00E43C55"/>
    <w:rsid w:val="00E441FD"/>
    <w:rsid w:val="00E4439E"/>
    <w:rsid w:val="00E46542"/>
    <w:rsid w:val="00E508E3"/>
    <w:rsid w:val="00E5093C"/>
    <w:rsid w:val="00E50983"/>
    <w:rsid w:val="00E51B1F"/>
    <w:rsid w:val="00E532C7"/>
    <w:rsid w:val="00E54E86"/>
    <w:rsid w:val="00E54F09"/>
    <w:rsid w:val="00E54F6F"/>
    <w:rsid w:val="00E5538C"/>
    <w:rsid w:val="00E55F04"/>
    <w:rsid w:val="00E56258"/>
    <w:rsid w:val="00E601E4"/>
    <w:rsid w:val="00E60723"/>
    <w:rsid w:val="00E61427"/>
    <w:rsid w:val="00E62521"/>
    <w:rsid w:val="00E637E6"/>
    <w:rsid w:val="00E63C9C"/>
    <w:rsid w:val="00E63DEB"/>
    <w:rsid w:val="00E6408C"/>
    <w:rsid w:val="00E64BDE"/>
    <w:rsid w:val="00E667F5"/>
    <w:rsid w:val="00E66862"/>
    <w:rsid w:val="00E675E5"/>
    <w:rsid w:val="00E67B51"/>
    <w:rsid w:val="00E70C9E"/>
    <w:rsid w:val="00E71481"/>
    <w:rsid w:val="00E7279F"/>
    <w:rsid w:val="00E736B1"/>
    <w:rsid w:val="00E74803"/>
    <w:rsid w:val="00E74C42"/>
    <w:rsid w:val="00E74C7F"/>
    <w:rsid w:val="00E75332"/>
    <w:rsid w:val="00E7624D"/>
    <w:rsid w:val="00E8001E"/>
    <w:rsid w:val="00E808D0"/>
    <w:rsid w:val="00E80A7D"/>
    <w:rsid w:val="00E8251D"/>
    <w:rsid w:val="00E8490D"/>
    <w:rsid w:val="00E85B1B"/>
    <w:rsid w:val="00E86EA2"/>
    <w:rsid w:val="00E87E37"/>
    <w:rsid w:val="00E90138"/>
    <w:rsid w:val="00E92CFD"/>
    <w:rsid w:val="00E933DC"/>
    <w:rsid w:val="00E940C3"/>
    <w:rsid w:val="00E94C05"/>
    <w:rsid w:val="00E94CA0"/>
    <w:rsid w:val="00E9744A"/>
    <w:rsid w:val="00E974CF"/>
    <w:rsid w:val="00E97AE2"/>
    <w:rsid w:val="00EA169B"/>
    <w:rsid w:val="00EA2012"/>
    <w:rsid w:val="00EA26A1"/>
    <w:rsid w:val="00EA4711"/>
    <w:rsid w:val="00EA538F"/>
    <w:rsid w:val="00EA5938"/>
    <w:rsid w:val="00EA5A39"/>
    <w:rsid w:val="00EA5B35"/>
    <w:rsid w:val="00EA5BCF"/>
    <w:rsid w:val="00EA5E9F"/>
    <w:rsid w:val="00EA6A83"/>
    <w:rsid w:val="00EA7E15"/>
    <w:rsid w:val="00EB1612"/>
    <w:rsid w:val="00EB1B35"/>
    <w:rsid w:val="00EB492A"/>
    <w:rsid w:val="00EB52C5"/>
    <w:rsid w:val="00EB5843"/>
    <w:rsid w:val="00EB5DE7"/>
    <w:rsid w:val="00EB5E79"/>
    <w:rsid w:val="00EB6589"/>
    <w:rsid w:val="00EB761E"/>
    <w:rsid w:val="00EB7C1E"/>
    <w:rsid w:val="00EC1BCB"/>
    <w:rsid w:val="00EC1F33"/>
    <w:rsid w:val="00EC2021"/>
    <w:rsid w:val="00EC2701"/>
    <w:rsid w:val="00EC37D2"/>
    <w:rsid w:val="00EC4D59"/>
    <w:rsid w:val="00EC53F2"/>
    <w:rsid w:val="00EC55C4"/>
    <w:rsid w:val="00EC5795"/>
    <w:rsid w:val="00ED0571"/>
    <w:rsid w:val="00ED094A"/>
    <w:rsid w:val="00ED205C"/>
    <w:rsid w:val="00ED7314"/>
    <w:rsid w:val="00ED7B8B"/>
    <w:rsid w:val="00EE0808"/>
    <w:rsid w:val="00EE3B17"/>
    <w:rsid w:val="00EE481C"/>
    <w:rsid w:val="00EE48F1"/>
    <w:rsid w:val="00EE4A2D"/>
    <w:rsid w:val="00EE544C"/>
    <w:rsid w:val="00EE66E6"/>
    <w:rsid w:val="00EE7A5F"/>
    <w:rsid w:val="00EF13E6"/>
    <w:rsid w:val="00EF14C9"/>
    <w:rsid w:val="00EF2ED7"/>
    <w:rsid w:val="00EF3888"/>
    <w:rsid w:val="00EF3DC1"/>
    <w:rsid w:val="00EF502A"/>
    <w:rsid w:val="00EF5055"/>
    <w:rsid w:val="00EF5967"/>
    <w:rsid w:val="00EF72F8"/>
    <w:rsid w:val="00EF7C44"/>
    <w:rsid w:val="00EF7CD4"/>
    <w:rsid w:val="00F01695"/>
    <w:rsid w:val="00F040C8"/>
    <w:rsid w:val="00F058C4"/>
    <w:rsid w:val="00F059D2"/>
    <w:rsid w:val="00F05BA8"/>
    <w:rsid w:val="00F073AA"/>
    <w:rsid w:val="00F0747C"/>
    <w:rsid w:val="00F07A38"/>
    <w:rsid w:val="00F07BF2"/>
    <w:rsid w:val="00F11DCA"/>
    <w:rsid w:val="00F12D1C"/>
    <w:rsid w:val="00F1593A"/>
    <w:rsid w:val="00F170C8"/>
    <w:rsid w:val="00F17823"/>
    <w:rsid w:val="00F21D4A"/>
    <w:rsid w:val="00F2303C"/>
    <w:rsid w:val="00F23074"/>
    <w:rsid w:val="00F23FDB"/>
    <w:rsid w:val="00F252C0"/>
    <w:rsid w:val="00F25C19"/>
    <w:rsid w:val="00F2607A"/>
    <w:rsid w:val="00F261AF"/>
    <w:rsid w:val="00F31F13"/>
    <w:rsid w:val="00F3519E"/>
    <w:rsid w:val="00F359B1"/>
    <w:rsid w:val="00F368EA"/>
    <w:rsid w:val="00F378C2"/>
    <w:rsid w:val="00F37BB4"/>
    <w:rsid w:val="00F42930"/>
    <w:rsid w:val="00F42B5D"/>
    <w:rsid w:val="00F42F9E"/>
    <w:rsid w:val="00F437A5"/>
    <w:rsid w:val="00F43DB2"/>
    <w:rsid w:val="00F45A36"/>
    <w:rsid w:val="00F461C7"/>
    <w:rsid w:val="00F4639C"/>
    <w:rsid w:val="00F47CE2"/>
    <w:rsid w:val="00F5223F"/>
    <w:rsid w:val="00F5250B"/>
    <w:rsid w:val="00F526F5"/>
    <w:rsid w:val="00F530DB"/>
    <w:rsid w:val="00F53ED3"/>
    <w:rsid w:val="00F5403B"/>
    <w:rsid w:val="00F54D42"/>
    <w:rsid w:val="00F56183"/>
    <w:rsid w:val="00F565E0"/>
    <w:rsid w:val="00F567DC"/>
    <w:rsid w:val="00F573F8"/>
    <w:rsid w:val="00F60173"/>
    <w:rsid w:val="00F609DC"/>
    <w:rsid w:val="00F62756"/>
    <w:rsid w:val="00F632C5"/>
    <w:rsid w:val="00F63616"/>
    <w:rsid w:val="00F636D1"/>
    <w:rsid w:val="00F643FD"/>
    <w:rsid w:val="00F64404"/>
    <w:rsid w:val="00F64F3C"/>
    <w:rsid w:val="00F656C4"/>
    <w:rsid w:val="00F657B2"/>
    <w:rsid w:val="00F65EF3"/>
    <w:rsid w:val="00F66C9B"/>
    <w:rsid w:val="00F67296"/>
    <w:rsid w:val="00F67B34"/>
    <w:rsid w:val="00F67EFB"/>
    <w:rsid w:val="00F70EDA"/>
    <w:rsid w:val="00F717DA"/>
    <w:rsid w:val="00F72439"/>
    <w:rsid w:val="00F73A36"/>
    <w:rsid w:val="00F74216"/>
    <w:rsid w:val="00F74453"/>
    <w:rsid w:val="00F76095"/>
    <w:rsid w:val="00F769E0"/>
    <w:rsid w:val="00F7745F"/>
    <w:rsid w:val="00F777C1"/>
    <w:rsid w:val="00F77DE8"/>
    <w:rsid w:val="00F80E82"/>
    <w:rsid w:val="00F81232"/>
    <w:rsid w:val="00F8142A"/>
    <w:rsid w:val="00F81CC6"/>
    <w:rsid w:val="00F81E68"/>
    <w:rsid w:val="00F83348"/>
    <w:rsid w:val="00F83CBB"/>
    <w:rsid w:val="00F83F5F"/>
    <w:rsid w:val="00F841C3"/>
    <w:rsid w:val="00F847A8"/>
    <w:rsid w:val="00F874E5"/>
    <w:rsid w:val="00F9078F"/>
    <w:rsid w:val="00F90EC9"/>
    <w:rsid w:val="00F91152"/>
    <w:rsid w:val="00F93435"/>
    <w:rsid w:val="00F95B2D"/>
    <w:rsid w:val="00F960F6"/>
    <w:rsid w:val="00F96918"/>
    <w:rsid w:val="00F9747C"/>
    <w:rsid w:val="00F979CA"/>
    <w:rsid w:val="00FA0EBD"/>
    <w:rsid w:val="00FA13ED"/>
    <w:rsid w:val="00FA1A7B"/>
    <w:rsid w:val="00FA1DD2"/>
    <w:rsid w:val="00FA4546"/>
    <w:rsid w:val="00FA4878"/>
    <w:rsid w:val="00FA504E"/>
    <w:rsid w:val="00FA5150"/>
    <w:rsid w:val="00FB2E1D"/>
    <w:rsid w:val="00FB365C"/>
    <w:rsid w:val="00FB4843"/>
    <w:rsid w:val="00FB5B4E"/>
    <w:rsid w:val="00FB5F3F"/>
    <w:rsid w:val="00FB6D7A"/>
    <w:rsid w:val="00FB7313"/>
    <w:rsid w:val="00FC0A85"/>
    <w:rsid w:val="00FC0F39"/>
    <w:rsid w:val="00FC1063"/>
    <w:rsid w:val="00FC1AD5"/>
    <w:rsid w:val="00FC1D6F"/>
    <w:rsid w:val="00FC2E6C"/>
    <w:rsid w:val="00FC2FA1"/>
    <w:rsid w:val="00FC2FF6"/>
    <w:rsid w:val="00FC3171"/>
    <w:rsid w:val="00FC57AE"/>
    <w:rsid w:val="00FC5D27"/>
    <w:rsid w:val="00FC5E32"/>
    <w:rsid w:val="00FC60B4"/>
    <w:rsid w:val="00FC7502"/>
    <w:rsid w:val="00FD152A"/>
    <w:rsid w:val="00FD1851"/>
    <w:rsid w:val="00FD1D35"/>
    <w:rsid w:val="00FD3615"/>
    <w:rsid w:val="00FD3F0E"/>
    <w:rsid w:val="00FD4EB6"/>
    <w:rsid w:val="00FD564D"/>
    <w:rsid w:val="00FD571E"/>
    <w:rsid w:val="00FD6AB7"/>
    <w:rsid w:val="00FD6C2B"/>
    <w:rsid w:val="00FD712F"/>
    <w:rsid w:val="00FD76B5"/>
    <w:rsid w:val="00FD7D6D"/>
    <w:rsid w:val="00FE16B3"/>
    <w:rsid w:val="00FE369E"/>
    <w:rsid w:val="00FE3EE5"/>
    <w:rsid w:val="00FE3FAE"/>
    <w:rsid w:val="00FE4404"/>
    <w:rsid w:val="00FE4C68"/>
    <w:rsid w:val="00FE5BEC"/>
    <w:rsid w:val="00FE6B74"/>
    <w:rsid w:val="00FE6BD4"/>
    <w:rsid w:val="00FE74AD"/>
    <w:rsid w:val="00FE772F"/>
    <w:rsid w:val="00FE77E0"/>
    <w:rsid w:val="00FE79FA"/>
    <w:rsid w:val="00FE7EFC"/>
    <w:rsid w:val="00FF15D2"/>
    <w:rsid w:val="00FF19D9"/>
    <w:rsid w:val="00FF48F5"/>
    <w:rsid w:val="00FF539D"/>
    <w:rsid w:val="00FF5443"/>
    <w:rsid w:val="00FF5CF5"/>
    <w:rsid w:val="00FF6563"/>
    <w:rsid w:val="00FF7A1B"/>
  </w:rsids>
  <m:mathPr>
    <m:mathFont m:val="Cambria Math"/>
    <m:brkBin m:val="before"/>
    <m:brkBinSub m:val="--"/>
    <m:smallFrac m:val="0"/>
    <m:dispDef/>
    <m:lMargin m:val="0"/>
    <m:rMargin m:val="0"/>
    <m:defJc m:val="centerGroup"/>
    <m:wrapIndent m:val="1440"/>
    <m:intLim m:val="subSup"/>
    <m:naryLim m:val="undOvr"/>
  </m:mathPr>
  <w:themeFontLang w:val="en-GB" w:bidi="bn-IN"/>
  <w:clrSchemeMapping w:bg1="light1" w:t1="dark1" w:bg2="light2" w:t2="dark2" w:accent1="accent1" w:accent2="accent2" w:accent3="accent3" w:accent4="accent4" w:accent5="accent5" w:accent6="accent6" w:hyperlink="hyperlink" w:followedHyperlink="followedHyperlink"/>
  <w:shapeDefaults>
    <o:shapedefaults v:ext="edit" spidmax="4101"/>
    <o:shapelayout v:ext="edit">
      <o:idmap v:ext="edit" data="1"/>
    </o:shapelayout>
  </w:shapeDefaults>
  <w:decimalSymbol w:val="."/>
  <w:listSeparator w:val=","/>
  <w15:chartTrackingRefBased/>
  <w15:docId w15:val="{B60705A3-33AE-48C6-9A3A-48BCBF55F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Helvetica" w:eastAsiaTheme="minorHAnsi" w:hAnsi="Helvetica" w:cs="Times New Roman"/>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qFormat="1"/>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qFormat="1"/>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Garamond"/>
    <w:basedOn w:val="Normal"/>
    <w:next w:val="Normal"/>
    <w:link w:val="Heading1Char"/>
    <w:uiPriority w:val="9"/>
    <w:qFormat/>
    <w:rsid w:val="00C9597C"/>
    <w:pPr>
      <w:keepNext/>
      <w:keepLines/>
      <w:spacing w:line="276" w:lineRule="auto"/>
      <w:jc w:val="both"/>
      <w:outlineLvl w:val="0"/>
    </w:pPr>
    <w:rPr>
      <w:rFonts w:ascii="Garamond" w:eastAsia="Times New Roman" w:hAnsi="Garamond"/>
      <w:bCs/>
      <w:szCs w:val="28"/>
    </w:rPr>
  </w:style>
  <w:style w:type="paragraph" w:styleId="Heading2">
    <w:name w:val="heading 2"/>
    <w:basedOn w:val="Normal"/>
    <w:next w:val="Normal"/>
    <w:link w:val="Heading2Char"/>
    <w:unhideWhenUsed/>
    <w:qFormat/>
    <w:rsid w:val="00C9597C"/>
    <w:pPr>
      <w:keepNext/>
      <w:keepLines/>
      <w:spacing w:before="200" w:line="276" w:lineRule="auto"/>
      <w:outlineLvl w:val="1"/>
    </w:pPr>
    <w:rPr>
      <w:rFonts w:ascii="Cambria" w:eastAsia="Times New Roman" w:hAnsi="Cambria"/>
      <w:b/>
      <w:bCs/>
      <w:color w:val="4F81BD"/>
      <w:sz w:val="26"/>
      <w:szCs w:val="26"/>
      <w:lang w:val="en-US"/>
    </w:rPr>
  </w:style>
  <w:style w:type="paragraph" w:styleId="Heading3">
    <w:name w:val="heading 3"/>
    <w:basedOn w:val="Normal"/>
    <w:next w:val="Normal"/>
    <w:link w:val="Heading3Char"/>
    <w:unhideWhenUsed/>
    <w:qFormat/>
    <w:rsid w:val="00C9597C"/>
    <w:pPr>
      <w:keepNext/>
      <w:keepLines/>
      <w:spacing w:before="200"/>
      <w:jc w:val="both"/>
      <w:outlineLvl w:val="2"/>
    </w:pPr>
    <w:rPr>
      <w:rFonts w:ascii="Cambria" w:eastAsia="Times New Roman" w:hAnsi="Cambria"/>
      <w:b/>
      <w:bCs/>
      <w:color w:val="4F81BD"/>
    </w:rPr>
  </w:style>
  <w:style w:type="paragraph" w:styleId="Heading4">
    <w:name w:val="heading 4"/>
    <w:basedOn w:val="Normal"/>
    <w:next w:val="Normal"/>
    <w:link w:val="Heading4Char"/>
    <w:qFormat/>
    <w:rsid w:val="00C9597C"/>
    <w:pPr>
      <w:keepNext/>
      <w:keepLines/>
      <w:spacing w:before="240" w:after="40"/>
      <w:contextualSpacing/>
      <w:jc w:val="both"/>
      <w:outlineLvl w:val="3"/>
    </w:pPr>
    <w:rPr>
      <w:rFonts w:ascii="Times New Roman" w:eastAsia="Times New Roman" w:hAnsi="Times New Roman"/>
      <w:b/>
      <w:color w:val="000000"/>
      <w:lang w:val="en-IN" w:eastAsia="en-IN"/>
    </w:rPr>
  </w:style>
  <w:style w:type="paragraph" w:styleId="Heading5">
    <w:name w:val="heading 5"/>
    <w:basedOn w:val="Normal"/>
    <w:next w:val="Normal"/>
    <w:link w:val="Heading5Char"/>
    <w:qFormat/>
    <w:rsid w:val="00C9597C"/>
    <w:pPr>
      <w:spacing w:before="240" w:after="60"/>
      <w:outlineLvl w:val="4"/>
    </w:pPr>
    <w:rPr>
      <w:rFonts w:ascii="Times New Roman" w:eastAsia="Times New Roman" w:hAnsi="Times New Roman"/>
      <w:b/>
      <w:bCs/>
      <w:i/>
      <w:iCs/>
      <w:sz w:val="26"/>
      <w:szCs w:val="26"/>
      <w:lang w:val="en-US"/>
    </w:rPr>
  </w:style>
  <w:style w:type="paragraph" w:styleId="Heading6">
    <w:name w:val="heading 6"/>
    <w:basedOn w:val="Normal"/>
    <w:next w:val="Normal"/>
    <w:link w:val="Heading6Char"/>
    <w:qFormat/>
    <w:rsid w:val="00C9597C"/>
    <w:pPr>
      <w:keepNext/>
      <w:keepLines/>
      <w:spacing w:before="200" w:after="40"/>
      <w:contextualSpacing/>
      <w:jc w:val="both"/>
      <w:outlineLvl w:val="5"/>
    </w:pPr>
    <w:rPr>
      <w:rFonts w:ascii="Times New Roman" w:eastAsia="Times New Roman" w:hAnsi="Times New Roman"/>
      <w:b/>
      <w:color w:val="000000"/>
      <w:sz w:val="20"/>
      <w:szCs w:val="20"/>
      <w:lang w:val="en-IN" w:eastAsia="en-IN"/>
    </w:rPr>
  </w:style>
  <w:style w:type="paragraph" w:styleId="Heading7">
    <w:name w:val="heading 7"/>
    <w:basedOn w:val="Normal"/>
    <w:next w:val="Normal"/>
    <w:link w:val="Heading7Char"/>
    <w:qFormat/>
    <w:rsid w:val="00C9597C"/>
    <w:pPr>
      <w:spacing w:before="240" w:after="60"/>
      <w:outlineLvl w:val="6"/>
    </w:pPr>
    <w:rPr>
      <w:rFonts w:ascii="Times New Roman" w:eastAsia="Times New Roman" w:hAnsi="Times New Roman"/>
      <w:lang w:val="en-US"/>
    </w:rPr>
  </w:style>
  <w:style w:type="paragraph" w:styleId="Heading8">
    <w:name w:val="heading 8"/>
    <w:basedOn w:val="Normal"/>
    <w:next w:val="Normal"/>
    <w:uiPriority w:val="9"/>
    <w:unhideWhenUsed/>
    <w:qFormat/>
    <w:rsid w:val="003F3A95"/>
    <w:pPr>
      <w:tabs>
        <w:tab w:val="left" w:pos="5760"/>
      </w:tabs>
      <w:spacing w:before="240" w:after="60" w:line="259" w:lineRule="auto"/>
      <w:ind w:left="5760" w:hanging="720"/>
      <w:outlineLvl w:val="7"/>
    </w:pPr>
    <w:rPr>
      <w:rFonts w:asciiTheme="minorHAnsi" w:eastAsiaTheme="minorEastAsia" w:hAnsiTheme="minorHAnsi" w:cstheme="minorBidi"/>
      <w:i/>
      <w:iCs/>
      <w:lang w:val="en-US"/>
    </w:rPr>
  </w:style>
  <w:style w:type="paragraph" w:styleId="Heading9">
    <w:name w:val="heading 9"/>
    <w:basedOn w:val="Normal"/>
    <w:next w:val="Normal"/>
    <w:uiPriority w:val="9"/>
    <w:unhideWhenUsed/>
    <w:qFormat/>
    <w:rsid w:val="003F3A95"/>
    <w:pPr>
      <w:tabs>
        <w:tab w:val="left" w:pos="6480"/>
      </w:tabs>
      <w:spacing w:before="240" w:after="60" w:line="259" w:lineRule="auto"/>
      <w:ind w:left="6480" w:hanging="720"/>
      <w:outlineLvl w:val="8"/>
    </w:pPr>
    <w:rPr>
      <w:rFonts w:asciiTheme="majorHAnsi" w:eastAsiaTheme="majorEastAsia" w:hAnsiTheme="majorHAnsi" w:cstheme="majorBidi"/>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Garamond Char"/>
    <w:basedOn w:val="DefaultParagraphFont"/>
    <w:link w:val="Heading1"/>
    <w:uiPriority w:val="9"/>
    <w:qFormat/>
    <w:rsid w:val="00C9597C"/>
    <w:rPr>
      <w:rFonts w:ascii="Garamond" w:eastAsia="Times New Roman" w:hAnsi="Garamond"/>
      <w:bCs/>
      <w:szCs w:val="28"/>
    </w:rPr>
  </w:style>
  <w:style w:type="character" w:customStyle="1" w:styleId="Heading2Char">
    <w:name w:val="Heading 2 Char"/>
    <w:basedOn w:val="DefaultParagraphFont"/>
    <w:link w:val="Heading2"/>
    <w:rsid w:val="00C9597C"/>
    <w:rPr>
      <w:rFonts w:ascii="Cambria" w:eastAsia="Times New Roman" w:hAnsi="Cambria"/>
      <w:b/>
      <w:bCs/>
      <w:color w:val="4F81BD"/>
      <w:sz w:val="26"/>
      <w:szCs w:val="26"/>
      <w:lang w:val="en-US"/>
    </w:rPr>
  </w:style>
  <w:style w:type="character" w:customStyle="1" w:styleId="Heading3Char">
    <w:name w:val="Heading 3 Char"/>
    <w:basedOn w:val="DefaultParagraphFont"/>
    <w:link w:val="Heading3"/>
    <w:qFormat/>
    <w:rsid w:val="00C9597C"/>
    <w:rPr>
      <w:rFonts w:ascii="Cambria" w:eastAsia="Times New Roman" w:hAnsi="Cambria"/>
      <w:b/>
      <w:bCs/>
      <w:color w:val="4F81BD"/>
    </w:rPr>
  </w:style>
  <w:style w:type="character" w:customStyle="1" w:styleId="Heading4Char">
    <w:name w:val="Heading 4 Char"/>
    <w:basedOn w:val="DefaultParagraphFont"/>
    <w:link w:val="Heading4"/>
    <w:rsid w:val="00C9597C"/>
    <w:rPr>
      <w:rFonts w:ascii="Times New Roman" w:eastAsia="Times New Roman" w:hAnsi="Times New Roman"/>
      <w:b/>
      <w:color w:val="000000"/>
      <w:lang w:val="en-IN" w:eastAsia="en-IN"/>
    </w:rPr>
  </w:style>
  <w:style w:type="character" w:customStyle="1" w:styleId="Heading5Char">
    <w:name w:val="Heading 5 Char"/>
    <w:basedOn w:val="DefaultParagraphFont"/>
    <w:link w:val="Heading5"/>
    <w:rsid w:val="00C9597C"/>
    <w:rPr>
      <w:rFonts w:ascii="Times New Roman" w:eastAsia="Times New Roman" w:hAnsi="Times New Roman"/>
      <w:b/>
      <w:bCs/>
      <w:i/>
      <w:iCs/>
      <w:sz w:val="26"/>
      <w:szCs w:val="26"/>
      <w:lang w:val="en-US"/>
    </w:rPr>
  </w:style>
  <w:style w:type="character" w:customStyle="1" w:styleId="Heading6Char">
    <w:name w:val="Heading 6 Char"/>
    <w:basedOn w:val="DefaultParagraphFont"/>
    <w:link w:val="Heading6"/>
    <w:rsid w:val="00C9597C"/>
    <w:rPr>
      <w:rFonts w:ascii="Times New Roman" w:eastAsia="Times New Roman" w:hAnsi="Times New Roman"/>
      <w:b/>
      <w:color w:val="000000"/>
      <w:sz w:val="20"/>
      <w:szCs w:val="20"/>
      <w:lang w:val="en-IN" w:eastAsia="en-IN"/>
    </w:rPr>
  </w:style>
  <w:style w:type="character" w:customStyle="1" w:styleId="Heading7Char">
    <w:name w:val="Heading 7 Char"/>
    <w:basedOn w:val="DefaultParagraphFont"/>
    <w:link w:val="Heading7"/>
    <w:qFormat/>
    <w:rsid w:val="00C9597C"/>
    <w:rPr>
      <w:rFonts w:ascii="Times New Roman" w:eastAsia="Times New Roman" w:hAnsi="Times New Roman"/>
      <w:lang w:val="en-US"/>
    </w:rPr>
  </w:style>
  <w:style w:type="paragraph" w:styleId="ListParagraph">
    <w:name w:val="List Paragraph"/>
    <w:aliases w:val="lp1,elenco,Equipment,Figure_name,List Paragraph Char Char,List Paragraph1,List Paragraph11,List Paragraph2,List_TIS,Normal Sentence,Number_1,Numbered Indented Text,Ref,SGLText List Paragraph,TOC style,new,Amex_bullet,ListPar1,d_bodyb,L"/>
    <w:basedOn w:val="Normal"/>
    <w:link w:val="ListParagraphChar"/>
    <w:uiPriority w:val="34"/>
    <w:qFormat/>
    <w:rsid w:val="00C9597C"/>
    <w:pPr>
      <w:spacing w:after="200" w:line="276" w:lineRule="auto"/>
      <w:ind w:left="720"/>
      <w:contextualSpacing/>
    </w:pPr>
    <w:rPr>
      <w:rFonts w:ascii="Calibri" w:eastAsia="Calibri" w:hAnsi="Calibri"/>
      <w:sz w:val="20"/>
      <w:szCs w:val="20"/>
      <w:lang w:val="en-US"/>
    </w:rPr>
  </w:style>
  <w:style w:type="paragraph" w:customStyle="1" w:styleId="Default">
    <w:name w:val="Default"/>
    <w:rsid w:val="00C9597C"/>
    <w:pPr>
      <w:autoSpaceDE w:val="0"/>
      <w:autoSpaceDN w:val="0"/>
      <w:adjustRightInd w:val="0"/>
    </w:pPr>
    <w:rPr>
      <w:rFonts w:ascii="Arial" w:eastAsia="Calibri" w:hAnsi="Arial" w:cs="Arial"/>
      <w:color w:val="000000"/>
      <w:lang w:val="en-US"/>
    </w:rPr>
  </w:style>
  <w:style w:type="paragraph" w:styleId="BalloonText">
    <w:name w:val="Balloon Text"/>
    <w:basedOn w:val="Normal"/>
    <w:link w:val="BalloonTextChar"/>
    <w:uiPriority w:val="99"/>
    <w:unhideWhenUsed/>
    <w:qFormat/>
    <w:rsid w:val="00C9597C"/>
    <w:rPr>
      <w:rFonts w:ascii="Tahoma" w:eastAsia="Calibri" w:hAnsi="Tahoma"/>
      <w:sz w:val="16"/>
      <w:szCs w:val="16"/>
      <w:lang w:val="en-US"/>
    </w:rPr>
  </w:style>
  <w:style w:type="character" w:customStyle="1" w:styleId="BalloonTextChar">
    <w:name w:val="Balloon Text Char"/>
    <w:basedOn w:val="DefaultParagraphFont"/>
    <w:link w:val="BalloonText"/>
    <w:uiPriority w:val="99"/>
    <w:rsid w:val="00C9597C"/>
    <w:rPr>
      <w:rFonts w:ascii="Tahoma" w:eastAsia="Calibri" w:hAnsi="Tahoma"/>
      <w:sz w:val="16"/>
      <w:szCs w:val="16"/>
      <w:lang w:val="en-US"/>
    </w:rPr>
  </w:style>
  <w:style w:type="paragraph" w:styleId="Title">
    <w:name w:val="Title"/>
    <w:basedOn w:val="Normal"/>
    <w:link w:val="TitleChar"/>
    <w:qFormat/>
    <w:rsid w:val="00C9597C"/>
    <w:pPr>
      <w:jc w:val="center"/>
    </w:pPr>
    <w:rPr>
      <w:rFonts w:ascii="Times New Roman" w:eastAsia="Times New Roman" w:hAnsi="Times New Roman"/>
      <w:b/>
      <w:u w:val="single"/>
      <w:lang w:val="en-US"/>
    </w:rPr>
  </w:style>
  <w:style w:type="character" w:customStyle="1" w:styleId="TitleChar">
    <w:name w:val="Title Char"/>
    <w:basedOn w:val="DefaultParagraphFont"/>
    <w:link w:val="Title"/>
    <w:rsid w:val="00C9597C"/>
    <w:rPr>
      <w:rFonts w:ascii="Times New Roman" w:eastAsia="Times New Roman" w:hAnsi="Times New Roman"/>
      <w:b/>
      <w:u w:val="single"/>
      <w:lang w:val="en-US"/>
    </w:rPr>
  </w:style>
  <w:style w:type="paragraph" w:styleId="Header">
    <w:name w:val="header"/>
    <w:basedOn w:val="Normal"/>
    <w:link w:val="HeaderChar"/>
    <w:uiPriority w:val="99"/>
    <w:qFormat/>
    <w:rsid w:val="00C9597C"/>
    <w:pPr>
      <w:tabs>
        <w:tab w:val="center" w:pos="4320"/>
        <w:tab w:val="right" w:pos="8640"/>
      </w:tabs>
    </w:pPr>
    <w:rPr>
      <w:rFonts w:ascii="Times New Roman" w:eastAsia="Times New Roman" w:hAnsi="Times New Roman"/>
      <w:szCs w:val="20"/>
      <w:lang w:val="en-US"/>
    </w:rPr>
  </w:style>
  <w:style w:type="character" w:customStyle="1" w:styleId="HeaderChar">
    <w:name w:val="Header Char"/>
    <w:basedOn w:val="DefaultParagraphFont"/>
    <w:link w:val="Header"/>
    <w:uiPriority w:val="99"/>
    <w:rsid w:val="00C9597C"/>
    <w:rPr>
      <w:rFonts w:ascii="Times New Roman" w:eastAsia="Times New Roman" w:hAnsi="Times New Roman"/>
      <w:szCs w:val="20"/>
      <w:lang w:val="en-US"/>
    </w:rPr>
  </w:style>
  <w:style w:type="paragraph" w:styleId="NoSpacing">
    <w:name w:val="No Spacing"/>
    <w:link w:val="NoSpacingChar"/>
    <w:uiPriority w:val="1"/>
    <w:qFormat/>
    <w:rsid w:val="00C9597C"/>
    <w:rPr>
      <w:rFonts w:ascii="Calibri" w:eastAsia="Calibri" w:hAnsi="Calibri"/>
      <w:sz w:val="22"/>
      <w:szCs w:val="22"/>
      <w:lang w:val="en-US"/>
    </w:rPr>
  </w:style>
  <w:style w:type="character" w:customStyle="1" w:styleId="NoSpacingChar">
    <w:name w:val="No Spacing Char"/>
    <w:link w:val="NoSpacing"/>
    <w:uiPriority w:val="1"/>
    <w:rsid w:val="00C9597C"/>
    <w:rPr>
      <w:rFonts w:ascii="Calibri" w:eastAsia="Calibri" w:hAnsi="Calibri"/>
      <w:sz w:val="22"/>
      <w:szCs w:val="22"/>
      <w:lang w:val="en-US"/>
    </w:rPr>
  </w:style>
  <w:style w:type="character" w:customStyle="1" w:styleId="apple-style-span">
    <w:name w:val="apple-style-span"/>
    <w:basedOn w:val="DefaultParagraphFont"/>
    <w:rsid w:val="00C9597C"/>
  </w:style>
  <w:style w:type="character" w:customStyle="1" w:styleId="apple-converted-space">
    <w:name w:val="apple-converted-space"/>
    <w:basedOn w:val="DefaultParagraphFont"/>
    <w:rsid w:val="00C9597C"/>
  </w:style>
  <w:style w:type="character" w:styleId="Strong">
    <w:name w:val="Strong"/>
    <w:uiPriority w:val="22"/>
    <w:qFormat/>
    <w:rsid w:val="00C9597C"/>
    <w:rPr>
      <w:b/>
      <w:bCs/>
    </w:rPr>
  </w:style>
  <w:style w:type="paragraph" w:styleId="Caption">
    <w:name w:val="caption"/>
    <w:basedOn w:val="Normal"/>
    <w:next w:val="Normal"/>
    <w:uiPriority w:val="35"/>
    <w:unhideWhenUsed/>
    <w:qFormat/>
    <w:rsid w:val="00C9597C"/>
    <w:pPr>
      <w:spacing w:after="200"/>
    </w:pPr>
    <w:rPr>
      <w:rFonts w:ascii="Calibri" w:eastAsia="Calibri" w:hAnsi="Calibri"/>
      <w:b/>
      <w:bCs/>
      <w:color w:val="4F81BD"/>
      <w:sz w:val="18"/>
      <w:szCs w:val="18"/>
      <w:lang w:val="en-US"/>
    </w:rPr>
  </w:style>
  <w:style w:type="paragraph" w:customStyle="1" w:styleId="CM10">
    <w:name w:val="CM10"/>
    <w:basedOn w:val="Default"/>
    <w:next w:val="Default"/>
    <w:uiPriority w:val="99"/>
    <w:rsid w:val="00C9597C"/>
    <w:pPr>
      <w:widowControl w:val="0"/>
      <w:spacing w:after="268"/>
    </w:pPr>
    <w:rPr>
      <w:rFonts w:ascii="AWCDV-Prakash" w:eastAsia="Times New Roman" w:hAnsi="AWCDV-Prakash" w:cs="Times New Roman"/>
      <w:color w:val="auto"/>
    </w:rPr>
  </w:style>
  <w:style w:type="paragraph" w:customStyle="1" w:styleId="CM4">
    <w:name w:val="CM4"/>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14">
    <w:name w:val="CM14"/>
    <w:basedOn w:val="Default"/>
    <w:next w:val="Default"/>
    <w:uiPriority w:val="99"/>
    <w:rsid w:val="00C9597C"/>
    <w:pPr>
      <w:widowControl w:val="0"/>
      <w:spacing w:after="128"/>
    </w:pPr>
    <w:rPr>
      <w:rFonts w:ascii="AWCDV-Prakash" w:eastAsia="Times New Roman" w:hAnsi="AWCDV-Prakash" w:cs="Times New Roman"/>
      <w:color w:val="auto"/>
    </w:rPr>
  </w:style>
  <w:style w:type="paragraph" w:customStyle="1" w:styleId="CM6">
    <w:name w:val="CM6"/>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customStyle="1" w:styleId="CM8">
    <w:name w:val="CM8"/>
    <w:basedOn w:val="Default"/>
    <w:next w:val="Default"/>
    <w:uiPriority w:val="99"/>
    <w:rsid w:val="00C9597C"/>
    <w:pPr>
      <w:widowControl w:val="0"/>
      <w:spacing w:line="391" w:lineRule="atLeast"/>
    </w:pPr>
    <w:rPr>
      <w:rFonts w:ascii="AWCDV-Prakash" w:eastAsia="Times New Roman" w:hAnsi="AWCDV-Prakash" w:cs="Times New Roman"/>
      <w:color w:val="auto"/>
    </w:rPr>
  </w:style>
  <w:style w:type="paragraph" w:styleId="NormalWeb">
    <w:name w:val="Normal (Web)"/>
    <w:basedOn w:val="Normal"/>
    <w:uiPriority w:val="99"/>
    <w:qFormat/>
    <w:rsid w:val="00C9597C"/>
    <w:pPr>
      <w:spacing w:before="100" w:beforeAutospacing="1" w:after="100" w:afterAutospacing="1"/>
    </w:pPr>
    <w:rPr>
      <w:rFonts w:ascii="Times New Roman" w:eastAsia="Times New Roman" w:hAnsi="Times New Roman"/>
      <w:lang w:val="en-US"/>
    </w:rPr>
  </w:style>
  <w:style w:type="character" w:styleId="Emphasis">
    <w:name w:val="Emphasis"/>
    <w:uiPriority w:val="20"/>
    <w:qFormat/>
    <w:rsid w:val="00C9597C"/>
    <w:rPr>
      <w:i/>
      <w:iCs/>
    </w:rPr>
  </w:style>
  <w:style w:type="character" w:styleId="Hyperlink">
    <w:name w:val="Hyperlink"/>
    <w:uiPriority w:val="99"/>
    <w:unhideWhenUsed/>
    <w:rsid w:val="00C9597C"/>
    <w:rPr>
      <w:color w:val="0000FF"/>
      <w:u w:val="single"/>
    </w:rPr>
  </w:style>
  <w:style w:type="paragraph" w:styleId="Footer">
    <w:name w:val="footer"/>
    <w:basedOn w:val="Normal"/>
    <w:link w:val="FooterChar"/>
    <w:uiPriority w:val="99"/>
    <w:unhideWhenUsed/>
    <w:qFormat/>
    <w:rsid w:val="00C9597C"/>
    <w:pPr>
      <w:tabs>
        <w:tab w:val="center" w:pos="4680"/>
        <w:tab w:val="right" w:pos="9360"/>
      </w:tabs>
    </w:pPr>
    <w:rPr>
      <w:rFonts w:ascii="Calibri" w:eastAsia="Calibri" w:hAnsi="Calibri"/>
      <w:sz w:val="20"/>
      <w:szCs w:val="20"/>
      <w:lang w:val="en-US"/>
    </w:rPr>
  </w:style>
  <w:style w:type="character" w:customStyle="1" w:styleId="FooterChar">
    <w:name w:val="Footer Char"/>
    <w:basedOn w:val="DefaultParagraphFont"/>
    <w:link w:val="Footer"/>
    <w:uiPriority w:val="99"/>
    <w:rsid w:val="00C9597C"/>
    <w:rPr>
      <w:rFonts w:ascii="Calibri" w:eastAsia="Calibri" w:hAnsi="Calibri"/>
      <w:sz w:val="20"/>
      <w:szCs w:val="20"/>
      <w:lang w:val="en-US"/>
    </w:rPr>
  </w:style>
  <w:style w:type="table" w:styleId="TableGrid">
    <w:name w:val="Table Grid"/>
    <w:basedOn w:val="TableNormal"/>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dnoteText">
    <w:name w:val="endnote text"/>
    <w:basedOn w:val="Normal"/>
    <w:link w:val="EndnoteTextChar"/>
    <w:uiPriority w:val="99"/>
    <w:unhideWhenUsed/>
    <w:qFormat/>
    <w:rsid w:val="00C9597C"/>
    <w:rPr>
      <w:rFonts w:ascii="Calibri" w:eastAsia="Calibri" w:hAnsi="Calibri"/>
      <w:sz w:val="20"/>
      <w:szCs w:val="20"/>
      <w:lang w:val="en-US"/>
    </w:rPr>
  </w:style>
  <w:style w:type="character" w:customStyle="1" w:styleId="EndnoteTextChar">
    <w:name w:val="Endnote Text Char"/>
    <w:basedOn w:val="DefaultParagraphFont"/>
    <w:link w:val="EndnoteText"/>
    <w:uiPriority w:val="99"/>
    <w:rsid w:val="00C9597C"/>
    <w:rPr>
      <w:rFonts w:ascii="Calibri" w:eastAsia="Calibri" w:hAnsi="Calibri"/>
      <w:sz w:val="20"/>
      <w:szCs w:val="20"/>
      <w:lang w:val="en-US"/>
    </w:rPr>
  </w:style>
  <w:style w:type="character" w:styleId="EndnoteReference">
    <w:name w:val="endnote reference"/>
    <w:uiPriority w:val="99"/>
    <w:unhideWhenUsed/>
    <w:qFormat/>
    <w:rsid w:val="00C9597C"/>
    <w:rPr>
      <w:vertAlign w:val="superscript"/>
    </w:rPr>
  </w:style>
  <w:style w:type="paragraph" w:styleId="FootnoteText">
    <w:name w:val="footnote text"/>
    <w:basedOn w:val="Normal"/>
    <w:link w:val="FootnoteTextChar"/>
    <w:uiPriority w:val="99"/>
    <w:unhideWhenUsed/>
    <w:qFormat/>
    <w:rsid w:val="00C9597C"/>
    <w:rPr>
      <w:rFonts w:ascii="Calibri" w:eastAsia="Calibri" w:hAnsi="Calibri"/>
      <w:sz w:val="20"/>
      <w:szCs w:val="20"/>
      <w:lang w:val="en-US"/>
    </w:rPr>
  </w:style>
  <w:style w:type="character" w:customStyle="1" w:styleId="FootnoteTextChar">
    <w:name w:val="Footnote Text Char"/>
    <w:basedOn w:val="DefaultParagraphFont"/>
    <w:link w:val="FootnoteText"/>
    <w:uiPriority w:val="99"/>
    <w:rsid w:val="00C9597C"/>
    <w:rPr>
      <w:rFonts w:ascii="Calibri" w:eastAsia="Calibri" w:hAnsi="Calibri"/>
      <w:sz w:val="20"/>
      <w:szCs w:val="20"/>
      <w:lang w:val="en-US"/>
    </w:rPr>
  </w:style>
  <w:style w:type="character" w:styleId="FootnoteReference">
    <w:name w:val="footnote reference"/>
    <w:uiPriority w:val="99"/>
    <w:unhideWhenUsed/>
    <w:rsid w:val="00C9597C"/>
    <w:rPr>
      <w:vertAlign w:val="superscript"/>
    </w:rPr>
  </w:style>
  <w:style w:type="character" w:customStyle="1" w:styleId="spelle">
    <w:name w:val="spelle"/>
    <w:basedOn w:val="DefaultParagraphFont"/>
    <w:rsid w:val="00C9597C"/>
  </w:style>
  <w:style w:type="character" w:customStyle="1" w:styleId="grame">
    <w:name w:val="grame"/>
    <w:basedOn w:val="DefaultParagraphFont"/>
    <w:rsid w:val="00C9597C"/>
  </w:style>
  <w:style w:type="paragraph" w:styleId="BodyTextIndent">
    <w:name w:val="Body Text Indent"/>
    <w:basedOn w:val="Normal"/>
    <w:link w:val="BodyTextIndentChar"/>
    <w:uiPriority w:val="99"/>
    <w:unhideWhenUsed/>
    <w:qFormat/>
    <w:rsid w:val="00C9597C"/>
    <w:pPr>
      <w:spacing w:before="100" w:beforeAutospacing="1" w:after="100" w:afterAutospacing="1"/>
    </w:pPr>
    <w:rPr>
      <w:rFonts w:ascii="Times New Roman" w:eastAsia="Times New Roman" w:hAnsi="Times New Roman"/>
      <w:lang w:val="en-US"/>
    </w:rPr>
  </w:style>
  <w:style w:type="character" w:customStyle="1" w:styleId="BodyTextIndentChar">
    <w:name w:val="Body Text Indent Char"/>
    <w:basedOn w:val="DefaultParagraphFont"/>
    <w:link w:val="BodyTextIndent"/>
    <w:uiPriority w:val="99"/>
    <w:rsid w:val="00C9597C"/>
    <w:rPr>
      <w:rFonts w:ascii="Times New Roman" w:eastAsia="Times New Roman" w:hAnsi="Times New Roman"/>
      <w:lang w:val="en-US"/>
    </w:rPr>
  </w:style>
  <w:style w:type="paragraph" w:customStyle="1" w:styleId="listparagraph0">
    <w:name w:val="listparagraph"/>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middle">
    <w:name w:val="listparagraphcxspmiddle"/>
    <w:basedOn w:val="Normal"/>
    <w:rsid w:val="00C9597C"/>
    <w:pPr>
      <w:spacing w:before="100" w:beforeAutospacing="1" w:after="100" w:afterAutospacing="1"/>
    </w:pPr>
    <w:rPr>
      <w:rFonts w:ascii="Times New Roman" w:eastAsia="Times New Roman" w:hAnsi="Times New Roman"/>
      <w:lang w:val="en-US"/>
    </w:rPr>
  </w:style>
  <w:style w:type="paragraph" w:customStyle="1" w:styleId="listparagraphcxsplast">
    <w:name w:val="listparagraphcxsplast"/>
    <w:basedOn w:val="Normal"/>
    <w:rsid w:val="00C9597C"/>
    <w:pPr>
      <w:spacing w:before="100" w:beforeAutospacing="1" w:after="100" w:afterAutospacing="1"/>
    </w:pPr>
    <w:rPr>
      <w:rFonts w:ascii="Times New Roman" w:eastAsia="Times New Roman" w:hAnsi="Times New Roman"/>
      <w:lang w:val="en-US"/>
    </w:rPr>
  </w:style>
  <w:style w:type="paragraph" w:customStyle="1" w:styleId="style3">
    <w:name w:val="style3"/>
    <w:basedOn w:val="Normal"/>
    <w:rsid w:val="00C9597C"/>
    <w:pPr>
      <w:spacing w:before="100" w:beforeAutospacing="1" w:after="100" w:afterAutospacing="1"/>
    </w:pPr>
    <w:rPr>
      <w:rFonts w:ascii="Arial" w:eastAsia="Times New Roman" w:hAnsi="Arial" w:cs="Arial"/>
      <w:sz w:val="21"/>
      <w:szCs w:val="21"/>
      <w:lang w:val="en-US"/>
    </w:rPr>
  </w:style>
  <w:style w:type="paragraph" w:customStyle="1" w:styleId="style15">
    <w:name w:val="style15"/>
    <w:basedOn w:val="Normal"/>
    <w:rsid w:val="00C9597C"/>
    <w:pPr>
      <w:spacing w:before="100" w:beforeAutospacing="1" w:after="100" w:afterAutospacing="1"/>
    </w:pPr>
    <w:rPr>
      <w:rFonts w:ascii="Arial" w:eastAsia="Times New Roman" w:hAnsi="Arial" w:cs="Arial"/>
      <w:sz w:val="23"/>
      <w:szCs w:val="23"/>
      <w:lang w:val="en-US"/>
    </w:rPr>
  </w:style>
  <w:style w:type="character" w:styleId="FollowedHyperlink">
    <w:name w:val="FollowedHyperlink"/>
    <w:uiPriority w:val="99"/>
    <w:unhideWhenUsed/>
    <w:rsid w:val="00C9597C"/>
    <w:rPr>
      <w:color w:val="800080"/>
      <w:u w:val="single"/>
    </w:rPr>
  </w:style>
  <w:style w:type="character" w:customStyle="1" w:styleId="style151">
    <w:name w:val="style151"/>
    <w:rsid w:val="00C9597C"/>
    <w:rPr>
      <w:rFonts w:ascii="Arial" w:hAnsi="Arial" w:cs="Arial" w:hint="default"/>
      <w:sz w:val="23"/>
      <w:szCs w:val="23"/>
    </w:rPr>
  </w:style>
  <w:style w:type="paragraph" w:customStyle="1" w:styleId="style17">
    <w:name w:val="style17"/>
    <w:basedOn w:val="Normal"/>
    <w:rsid w:val="00C9597C"/>
    <w:pPr>
      <w:spacing w:before="100" w:beforeAutospacing="1" w:after="100" w:afterAutospacing="1"/>
    </w:pPr>
    <w:rPr>
      <w:rFonts w:ascii="Arial" w:eastAsia="Times New Roman" w:hAnsi="Arial" w:cs="Arial"/>
      <w:sz w:val="27"/>
      <w:szCs w:val="27"/>
      <w:lang w:val="en-US"/>
    </w:rPr>
  </w:style>
  <w:style w:type="character" w:customStyle="1" w:styleId="style171">
    <w:name w:val="style171"/>
    <w:rsid w:val="00C9597C"/>
    <w:rPr>
      <w:rFonts w:ascii="Arial" w:hAnsi="Arial" w:cs="Arial" w:hint="default"/>
      <w:sz w:val="27"/>
      <w:szCs w:val="27"/>
    </w:rPr>
  </w:style>
  <w:style w:type="character" w:customStyle="1" w:styleId="style141">
    <w:name w:val="style141"/>
    <w:rsid w:val="00C9597C"/>
    <w:rPr>
      <w:rFonts w:ascii="Arial" w:hAnsi="Arial" w:cs="Arial" w:hint="default"/>
      <w:sz w:val="27"/>
      <w:szCs w:val="27"/>
    </w:rPr>
  </w:style>
  <w:style w:type="character" w:customStyle="1" w:styleId="style161">
    <w:name w:val="style161"/>
    <w:rsid w:val="00C9597C"/>
    <w:rPr>
      <w:color w:val="000000"/>
    </w:rPr>
  </w:style>
  <w:style w:type="paragraph" w:customStyle="1" w:styleId="style22">
    <w:name w:val="style22"/>
    <w:basedOn w:val="Normal"/>
    <w:rsid w:val="00C9597C"/>
    <w:pPr>
      <w:spacing w:before="100" w:beforeAutospacing="1" w:after="100" w:afterAutospacing="1"/>
    </w:pPr>
    <w:rPr>
      <w:rFonts w:ascii="Arial" w:eastAsia="Times New Roman" w:hAnsi="Arial" w:cs="Arial"/>
      <w:sz w:val="22"/>
      <w:szCs w:val="22"/>
      <w:lang w:val="en-US"/>
    </w:rPr>
  </w:style>
  <w:style w:type="paragraph" w:customStyle="1" w:styleId="CharCharCharCharCharCharCharCharCharCharCharCharCharCharCharCharCharCharCharCharChar">
    <w:name w:val="Char Char Char Char Char Char Char Char Char Char Char Char Char Char Char Char Char Char Char Char Char"/>
    <w:basedOn w:val="Normal"/>
    <w:rsid w:val="00C9597C"/>
    <w:pPr>
      <w:spacing w:after="160" w:line="240" w:lineRule="exact"/>
    </w:pPr>
    <w:rPr>
      <w:rFonts w:ascii="Verdana" w:eastAsia="Times New Roman" w:hAnsi="Verdana"/>
      <w:sz w:val="20"/>
      <w:szCs w:val="20"/>
      <w:lang w:val="en-US"/>
    </w:rPr>
  </w:style>
  <w:style w:type="character" w:customStyle="1" w:styleId="style221">
    <w:name w:val="style221"/>
    <w:rsid w:val="00C9597C"/>
    <w:rPr>
      <w:rFonts w:ascii="Arial" w:hAnsi="Arial" w:cs="Arial" w:hint="default"/>
      <w:sz w:val="22"/>
      <w:szCs w:val="22"/>
    </w:rPr>
  </w:style>
  <w:style w:type="paragraph" w:customStyle="1" w:styleId="style32">
    <w:name w:val="style32"/>
    <w:basedOn w:val="Normal"/>
    <w:rsid w:val="00C9597C"/>
    <w:pPr>
      <w:spacing w:before="100" w:beforeAutospacing="1" w:after="100" w:afterAutospacing="1"/>
    </w:pPr>
    <w:rPr>
      <w:rFonts w:ascii="Arial" w:eastAsia="Times New Roman" w:hAnsi="Arial" w:cs="Arial"/>
      <w:lang w:val="en-US"/>
    </w:rPr>
  </w:style>
  <w:style w:type="character" w:customStyle="1" w:styleId="style311">
    <w:name w:val="style311"/>
    <w:qFormat/>
    <w:rsid w:val="00C9597C"/>
    <w:rPr>
      <w:sz w:val="24"/>
      <w:szCs w:val="24"/>
    </w:rPr>
  </w:style>
  <w:style w:type="character" w:customStyle="1" w:styleId="style331">
    <w:name w:val="style331"/>
    <w:rsid w:val="00C9597C"/>
    <w:rPr>
      <w:rFonts w:ascii="Calibri" w:hAnsi="Calibri" w:cs="Calibri" w:hint="default"/>
      <w:sz w:val="27"/>
      <w:szCs w:val="27"/>
    </w:rPr>
  </w:style>
  <w:style w:type="character" w:customStyle="1" w:styleId="style31">
    <w:name w:val="style31"/>
    <w:basedOn w:val="DefaultParagraphFont"/>
    <w:rsid w:val="00C9597C"/>
  </w:style>
  <w:style w:type="character" w:customStyle="1" w:styleId="style37">
    <w:name w:val="style37"/>
    <w:basedOn w:val="DefaultParagraphFont"/>
    <w:rsid w:val="00C9597C"/>
  </w:style>
  <w:style w:type="table" w:styleId="MediumGrid3-Accent1">
    <w:name w:val="Medium Grid 3 Accent 1"/>
    <w:basedOn w:val="TableNormal"/>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paragraph" w:customStyle="1" w:styleId="body">
    <w:name w:val="body"/>
    <w:basedOn w:val="Normal"/>
    <w:rsid w:val="00C9597C"/>
    <w:pPr>
      <w:spacing w:before="100" w:beforeAutospacing="1" w:after="100" w:afterAutospacing="1"/>
      <w:jc w:val="both"/>
    </w:pPr>
    <w:rPr>
      <w:rFonts w:ascii="Times New Roman" w:eastAsia="Times New Roman" w:hAnsi="Times New Roman"/>
      <w:lang w:eastAsia="en-GB"/>
    </w:rPr>
  </w:style>
  <w:style w:type="paragraph" w:customStyle="1" w:styleId="default0">
    <w:name w:val="default"/>
    <w:basedOn w:val="Normal"/>
    <w:rsid w:val="00C9597C"/>
    <w:pPr>
      <w:spacing w:before="100" w:beforeAutospacing="1" w:after="100" w:afterAutospacing="1"/>
    </w:pPr>
    <w:rPr>
      <w:rFonts w:ascii="Times New Roman" w:eastAsia="Times New Roman" w:hAnsi="Times New Roman"/>
      <w:lang w:val="en-US"/>
    </w:rPr>
  </w:style>
  <w:style w:type="paragraph" w:customStyle="1" w:styleId="style34">
    <w:name w:val="style34"/>
    <w:basedOn w:val="Normal"/>
    <w:uiPriority w:val="99"/>
    <w:rsid w:val="00C9597C"/>
    <w:pPr>
      <w:spacing w:before="100" w:beforeAutospacing="1" w:after="100" w:afterAutospacing="1"/>
    </w:pPr>
    <w:rPr>
      <w:rFonts w:ascii="Times New Roman" w:eastAsia="Calibri" w:hAnsi="Times New Roman"/>
      <w:lang w:val="en-US"/>
    </w:rPr>
  </w:style>
  <w:style w:type="paragraph" w:customStyle="1" w:styleId="style361">
    <w:name w:val="style361"/>
    <w:basedOn w:val="Normal"/>
    <w:uiPriority w:val="99"/>
    <w:rsid w:val="00C9597C"/>
    <w:pPr>
      <w:spacing w:before="100" w:beforeAutospacing="1" w:after="100" w:afterAutospacing="1"/>
    </w:pPr>
    <w:rPr>
      <w:rFonts w:ascii="Times New Roman" w:eastAsia="Calibri" w:hAnsi="Times New Roman"/>
      <w:lang w:val="en-US"/>
    </w:rPr>
  </w:style>
  <w:style w:type="character" w:customStyle="1" w:styleId="style36">
    <w:name w:val="style36"/>
    <w:basedOn w:val="DefaultParagraphFont"/>
    <w:rsid w:val="00C9597C"/>
  </w:style>
  <w:style w:type="character" w:styleId="CommentReference">
    <w:name w:val="annotation reference"/>
    <w:uiPriority w:val="99"/>
    <w:unhideWhenUsed/>
    <w:qFormat/>
    <w:rsid w:val="00C9597C"/>
    <w:rPr>
      <w:sz w:val="16"/>
      <w:szCs w:val="16"/>
    </w:rPr>
  </w:style>
  <w:style w:type="paragraph" w:styleId="CommentText">
    <w:name w:val="annotation text"/>
    <w:basedOn w:val="Normal"/>
    <w:link w:val="CommentTextChar"/>
    <w:uiPriority w:val="99"/>
    <w:unhideWhenUsed/>
    <w:qFormat/>
    <w:rsid w:val="00C9597C"/>
    <w:pPr>
      <w:spacing w:after="200"/>
    </w:pPr>
    <w:rPr>
      <w:rFonts w:ascii="Calibri" w:eastAsia="Calibri" w:hAnsi="Calibri"/>
      <w:sz w:val="20"/>
      <w:szCs w:val="20"/>
      <w:lang w:val="en-US"/>
    </w:rPr>
  </w:style>
  <w:style w:type="character" w:customStyle="1" w:styleId="CommentTextChar">
    <w:name w:val="Comment Text Char"/>
    <w:basedOn w:val="DefaultParagraphFont"/>
    <w:link w:val="CommentText"/>
    <w:uiPriority w:val="99"/>
    <w:rsid w:val="00C9597C"/>
    <w:rPr>
      <w:rFonts w:ascii="Calibri" w:eastAsia="Calibri" w:hAnsi="Calibri"/>
      <w:sz w:val="20"/>
      <w:szCs w:val="20"/>
      <w:lang w:val="en-US"/>
    </w:rPr>
  </w:style>
  <w:style w:type="paragraph" w:styleId="CommentSubject">
    <w:name w:val="annotation subject"/>
    <w:basedOn w:val="CommentText"/>
    <w:next w:val="CommentText"/>
    <w:link w:val="CommentSubjectChar"/>
    <w:uiPriority w:val="99"/>
    <w:unhideWhenUsed/>
    <w:qFormat/>
    <w:rsid w:val="00C9597C"/>
    <w:rPr>
      <w:b/>
      <w:bCs/>
    </w:rPr>
  </w:style>
  <w:style w:type="character" w:customStyle="1" w:styleId="CommentSubjectChar">
    <w:name w:val="Comment Subject Char"/>
    <w:basedOn w:val="CommentTextChar"/>
    <w:link w:val="CommentSubject"/>
    <w:uiPriority w:val="99"/>
    <w:rsid w:val="00C9597C"/>
    <w:rPr>
      <w:rFonts w:ascii="Calibri" w:eastAsia="Calibri" w:hAnsi="Calibri"/>
      <w:b/>
      <w:bCs/>
      <w:sz w:val="20"/>
      <w:szCs w:val="20"/>
      <w:lang w:val="en-US"/>
    </w:rPr>
  </w:style>
  <w:style w:type="character" w:customStyle="1" w:styleId="BalloonTextChar1">
    <w:name w:val="Balloon Text Char1"/>
    <w:uiPriority w:val="99"/>
    <w:rsid w:val="00C9597C"/>
    <w:rPr>
      <w:rFonts w:ascii="Tahoma" w:hAnsi="Tahoma" w:cs="Tahoma"/>
      <w:sz w:val="16"/>
      <w:szCs w:val="16"/>
      <w:lang w:val="en-GB"/>
    </w:rPr>
  </w:style>
  <w:style w:type="character" w:customStyle="1" w:styleId="CommentTextChar1">
    <w:name w:val="Comment Text Char1"/>
    <w:uiPriority w:val="99"/>
    <w:rsid w:val="00C9597C"/>
    <w:rPr>
      <w:sz w:val="20"/>
      <w:szCs w:val="20"/>
      <w:lang w:val="en-GB"/>
    </w:rPr>
  </w:style>
  <w:style w:type="character" w:customStyle="1" w:styleId="CommentSubjectChar1">
    <w:name w:val="Comment Subject Char1"/>
    <w:uiPriority w:val="99"/>
    <w:rsid w:val="00C9597C"/>
    <w:rPr>
      <w:b/>
      <w:bCs/>
      <w:sz w:val="20"/>
      <w:szCs w:val="20"/>
      <w:lang w:val="en-GB"/>
    </w:rPr>
  </w:style>
  <w:style w:type="paragraph" w:customStyle="1" w:styleId="style119">
    <w:name w:val="style119"/>
    <w:basedOn w:val="Normal"/>
    <w:rsid w:val="00C9597C"/>
    <w:pPr>
      <w:spacing w:before="100" w:beforeAutospacing="1" w:after="100" w:afterAutospacing="1"/>
    </w:pPr>
    <w:rPr>
      <w:rFonts w:ascii="Arial" w:eastAsia="Calibri" w:hAnsi="Arial" w:cs="Arial"/>
      <w:sz w:val="20"/>
      <w:szCs w:val="20"/>
      <w:lang w:val="en-US" w:bidi="hi-IN"/>
    </w:rPr>
  </w:style>
  <w:style w:type="paragraph" w:customStyle="1" w:styleId="style120">
    <w:name w:val="style120"/>
    <w:basedOn w:val="Normal"/>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201">
    <w:name w:val="style1201"/>
    <w:rsid w:val="00C9597C"/>
    <w:rPr>
      <w:sz w:val="20"/>
      <w:szCs w:val="20"/>
    </w:rPr>
  </w:style>
  <w:style w:type="character" w:customStyle="1" w:styleId="style1191">
    <w:name w:val="style1191"/>
    <w:rsid w:val="00C9597C"/>
    <w:rPr>
      <w:rFonts w:ascii="Arial" w:hAnsi="Arial" w:cs="Arial" w:hint="default"/>
      <w:sz w:val="20"/>
      <w:szCs w:val="20"/>
    </w:rPr>
  </w:style>
  <w:style w:type="character" w:customStyle="1" w:styleId="Heading1Char1">
    <w:name w:val="Heading 1 Char1"/>
    <w:aliases w:val="Garamond Char1"/>
    <w:uiPriority w:val="9"/>
    <w:rsid w:val="00C9597C"/>
    <w:rPr>
      <w:rFonts w:ascii="Cambria" w:eastAsia="Times New Roman" w:hAnsi="Cambria" w:cs="Times New Roman"/>
      <w:b/>
      <w:bCs/>
      <w:color w:val="365F91"/>
      <w:sz w:val="28"/>
      <w:szCs w:val="28"/>
      <w:lang w:val="en-GB"/>
    </w:rPr>
  </w:style>
  <w:style w:type="table" w:styleId="MediumGrid1-Accent1">
    <w:name w:val="Medium Grid 1 Accent 1"/>
    <w:basedOn w:val="TableNormal"/>
    <w:uiPriority w:val="67"/>
    <w:qFormat/>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
    <w:name w:val="Light Grid - Accent 1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Grid-Accent5">
    <w:name w:val="Light Grid Accent 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
    <w:name w:val="Light Grid - Accent 12"/>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5">
    <w:name w:val="Light List Accent 5"/>
    <w:basedOn w:val="TableNormal"/>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
    <w:name w:val="Light List - Accent 1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style14">
    <w:name w:val="style14"/>
    <w:basedOn w:val="Normal"/>
    <w:uiPriority w:val="99"/>
    <w:rsid w:val="00C9597C"/>
    <w:pPr>
      <w:spacing w:before="100" w:beforeAutospacing="1" w:after="100" w:afterAutospacing="1"/>
    </w:pPr>
    <w:rPr>
      <w:rFonts w:ascii="Arial" w:eastAsia="Calibri" w:hAnsi="Arial" w:cs="Arial"/>
      <w:sz w:val="20"/>
      <w:szCs w:val="20"/>
      <w:lang w:val="en-US" w:bidi="hi-IN"/>
    </w:rPr>
  </w:style>
  <w:style w:type="paragraph" w:customStyle="1" w:styleId="style1">
    <w:name w:val="style1"/>
    <w:basedOn w:val="Normal"/>
    <w:uiPriority w:val="99"/>
    <w:rsid w:val="00C9597C"/>
    <w:pPr>
      <w:spacing w:before="100" w:beforeAutospacing="1" w:after="100" w:afterAutospacing="1"/>
    </w:pPr>
    <w:rPr>
      <w:rFonts w:ascii="Arial" w:eastAsia="Calibri" w:hAnsi="Arial" w:cs="Arial"/>
      <w:sz w:val="20"/>
      <w:szCs w:val="20"/>
      <w:lang w:val="en-US"/>
    </w:rPr>
  </w:style>
  <w:style w:type="paragraph" w:customStyle="1" w:styleId="paraattribute2">
    <w:name w:val="paraattribute2"/>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20">
    <w:name w:val="bodytext20"/>
    <w:basedOn w:val="Normal"/>
    <w:rsid w:val="00C9597C"/>
    <w:pPr>
      <w:spacing w:before="100" w:beforeAutospacing="1" w:after="100" w:afterAutospacing="1"/>
    </w:pPr>
    <w:rPr>
      <w:rFonts w:ascii="Times New Roman" w:eastAsia="Times New Roman" w:hAnsi="Times New Roman"/>
      <w:lang w:val="en-US" w:bidi="hi-IN"/>
    </w:rPr>
  </w:style>
  <w:style w:type="paragraph" w:customStyle="1" w:styleId="bodytext0">
    <w:name w:val="bodytext0"/>
    <w:basedOn w:val="Normal"/>
    <w:rsid w:val="00C9597C"/>
    <w:pPr>
      <w:spacing w:before="100" w:beforeAutospacing="1" w:after="100" w:afterAutospacing="1"/>
    </w:pPr>
    <w:rPr>
      <w:rFonts w:ascii="Times New Roman" w:eastAsia="Times New Roman" w:hAnsi="Times New Roman"/>
      <w:lang w:val="en-US"/>
    </w:rPr>
  </w:style>
  <w:style w:type="character" w:customStyle="1" w:styleId="style38">
    <w:name w:val="style38"/>
    <w:basedOn w:val="DefaultParagraphFont"/>
    <w:rsid w:val="00C9597C"/>
  </w:style>
  <w:style w:type="paragraph" w:customStyle="1" w:styleId="style49">
    <w:name w:val="style49"/>
    <w:basedOn w:val="Normal"/>
    <w:uiPriority w:val="99"/>
    <w:rsid w:val="00C9597C"/>
    <w:pPr>
      <w:spacing w:before="100" w:beforeAutospacing="1" w:after="100" w:afterAutospacing="1"/>
    </w:pPr>
    <w:rPr>
      <w:rFonts w:ascii="Times New Roman" w:eastAsia="Calibri" w:hAnsi="Times New Roman"/>
      <w:sz w:val="20"/>
      <w:szCs w:val="20"/>
      <w:lang w:val="en-US" w:bidi="hi-IN"/>
    </w:rPr>
  </w:style>
  <w:style w:type="character" w:customStyle="1" w:styleId="style1361">
    <w:name w:val="style1361"/>
    <w:rsid w:val="00C9597C"/>
    <w:rPr>
      <w:b/>
      <w:bCs/>
    </w:rPr>
  </w:style>
  <w:style w:type="character" w:customStyle="1" w:styleId="style1351">
    <w:name w:val="style1351"/>
    <w:rsid w:val="00C9597C"/>
    <w:rPr>
      <w:b/>
      <w:bCs/>
    </w:rPr>
  </w:style>
  <w:style w:type="character" w:customStyle="1" w:styleId="style1341">
    <w:name w:val="style1341"/>
    <w:rsid w:val="00C9597C"/>
    <w:rPr>
      <w:b/>
      <w:bCs/>
    </w:rPr>
  </w:style>
  <w:style w:type="character" w:customStyle="1" w:styleId="style1331">
    <w:name w:val="style1331"/>
    <w:rsid w:val="00C9597C"/>
    <w:rPr>
      <w:b/>
      <w:bCs/>
    </w:rPr>
  </w:style>
  <w:style w:type="character" w:customStyle="1" w:styleId="style1321">
    <w:name w:val="style1321"/>
    <w:qFormat/>
    <w:rsid w:val="00C9597C"/>
    <w:rPr>
      <w:b/>
      <w:bCs/>
    </w:rPr>
  </w:style>
  <w:style w:type="character" w:customStyle="1" w:styleId="style1311">
    <w:name w:val="style1311"/>
    <w:rsid w:val="00C9597C"/>
    <w:rPr>
      <w:b/>
      <w:bCs/>
    </w:rPr>
  </w:style>
  <w:style w:type="character" w:customStyle="1" w:styleId="style201">
    <w:name w:val="style201"/>
    <w:rsid w:val="00C9597C"/>
    <w:rPr>
      <w:b/>
      <w:bCs/>
    </w:rPr>
  </w:style>
  <w:style w:type="character" w:customStyle="1" w:styleId="style191">
    <w:name w:val="style191"/>
    <w:rsid w:val="00C9597C"/>
    <w:rPr>
      <w:b/>
      <w:bCs/>
    </w:rPr>
  </w:style>
  <w:style w:type="character" w:customStyle="1" w:styleId="style181">
    <w:name w:val="style181"/>
    <w:rsid w:val="00C9597C"/>
    <w:rPr>
      <w:b/>
      <w:bCs/>
    </w:rPr>
  </w:style>
  <w:style w:type="table" w:customStyle="1" w:styleId="LightGrid-Accent13">
    <w:name w:val="Light Grid - Accent 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style291">
    <w:name w:val="style291"/>
    <w:rsid w:val="00C9597C"/>
    <w:rPr>
      <w:rFonts w:ascii="Arial" w:hAnsi="Arial" w:cs="Arial" w:hint="default"/>
    </w:rPr>
  </w:style>
  <w:style w:type="paragraph" w:customStyle="1" w:styleId="style2">
    <w:name w:val="style2"/>
    <w:basedOn w:val="Normal"/>
    <w:uiPriority w:val="99"/>
    <w:rsid w:val="00C9597C"/>
    <w:pPr>
      <w:spacing w:before="100" w:beforeAutospacing="1" w:after="100" w:afterAutospacing="1"/>
    </w:pPr>
    <w:rPr>
      <w:rFonts w:ascii="Times New Roman" w:eastAsia="Calibri" w:hAnsi="Times New Roman"/>
      <w:b/>
      <w:bCs/>
      <w:sz w:val="20"/>
      <w:szCs w:val="20"/>
      <w:lang w:val="en-US"/>
    </w:rPr>
  </w:style>
  <w:style w:type="character" w:customStyle="1" w:styleId="ListParagraphChar">
    <w:name w:val="List Paragraph Char"/>
    <w:aliases w:val="lp1 Char,elenco Char,Equipment Char,Figure_name Char,List Paragraph Char Char Char,List Paragraph1 Char,List Paragraph11 Char,List Paragraph2 Char,List_TIS Char,Normal Sentence Char,Number_1 Char,Numbered Indented Text Char,Ref Char"/>
    <w:link w:val="ListParagraph"/>
    <w:uiPriority w:val="34"/>
    <w:qFormat/>
    <w:locked/>
    <w:rsid w:val="00C9597C"/>
    <w:rPr>
      <w:rFonts w:ascii="Calibri" w:eastAsia="Calibri" w:hAnsi="Calibri"/>
      <w:sz w:val="20"/>
      <w:szCs w:val="20"/>
      <w:lang w:val="en-US"/>
    </w:rPr>
  </w:style>
  <w:style w:type="table" w:styleId="MediumGrid1-Accent3">
    <w:name w:val="Medium Grid 1 Accent 3"/>
    <w:basedOn w:val="TableNormal"/>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paragraph">
    <w:name w:val="paragraph"/>
    <w:basedOn w:val="Normal"/>
    <w:rsid w:val="00C9597C"/>
    <w:pPr>
      <w:spacing w:before="100" w:beforeAutospacing="1" w:after="100" w:afterAutospacing="1"/>
    </w:pPr>
    <w:rPr>
      <w:rFonts w:ascii="Times New Roman" w:eastAsia="Times New Roman" w:hAnsi="Times New Roman"/>
      <w:lang w:val="en-US"/>
    </w:rPr>
  </w:style>
  <w:style w:type="character" w:customStyle="1" w:styleId="ilad">
    <w:name w:val="il_ad"/>
    <w:basedOn w:val="DefaultParagraphFont"/>
    <w:rsid w:val="00C9597C"/>
  </w:style>
  <w:style w:type="paragraph" w:customStyle="1" w:styleId="s8">
    <w:name w:val="s8"/>
    <w:basedOn w:val="Normal"/>
    <w:rsid w:val="00C9597C"/>
    <w:pPr>
      <w:spacing w:before="100" w:beforeAutospacing="1" w:after="100" w:afterAutospacing="1"/>
    </w:pPr>
    <w:rPr>
      <w:rFonts w:ascii="Times New Roman" w:eastAsia="Times New Roman" w:hAnsi="Times New Roman"/>
      <w:lang w:val="en-US"/>
    </w:rPr>
  </w:style>
  <w:style w:type="character" w:customStyle="1" w:styleId="s7">
    <w:name w:val="s7"/>
    <w:basedOn w:val="DefaultParagraphFont"/>
    <w:rsid w:val="00C9597C"/>
  </w:style>
  <w:style w:type="paragraph" w:customStyle="1" w:styleId="s10">
    <w:name w:val="s10"/>
    <w:basedOn w:val="Normal"/>
    <w:rsid w:val="00C9597C"/>
    <w:pPr>
      <w:spacing w:before="100" w:beforeAutospacing="1" w:after="100" w:afterAutospacing="1"/>
    </w:pPr>
    <w:rPr>
      <w:rFonts w:ascii="Times New Roman" w:eastAsia="Times New Roman" w:hAnsi="Times New Roman"/>
      <w:lang w:val="en-US"/>
    </w:rPr>
  </w:style>
  <w:style w:type="numbering" w:customStyle="1" w:styleId="NoList1">
    <w:name w:val="No List1"/>
    <w:next w:val="NoList"/>
    <w:uiPriority w:val="99"/>
    <w:unhideWhenUsed/>
    <w:rsid w:val="00C9597C"/>
  </w:style>
  <w:style w:type="table" w:customStyle="1" w:styleId="MediumGrid1-Accent11">
    <w:name w:val="Medium Grid 1 - Accent 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
    <w:name w:val="Light Grid - Accent 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
    <w:name w:val="Light Grid - Accent 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
    <w:name w:val="Light Grid - Accent 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
    <w:name w:val="Light List - Accent 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
    <w:name w:val="Light List - Accent 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
    <w:name w:val="Light Grid - Accent 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
    <w:name w:val="Medium Grid 1 - Accent 31"/>
    <w:basedOn w:val="TableNormal"/>
    <w:next w:val="MediumGrid1-Accent3"/>
    <w:uiPriority w:val="67"/>
    <w:qFormat/>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
    <w:name w:val="Grid Table 4 - Accent 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paragraph" w:styleId="Revision">
    <w:name w:val="Revision"/>
    <w:hidden/>
    <w:uiPriority w:val="99"/>
    <w:rsid w:val="00C9597C"/>
    <w:rPr>
      <w:rFonts w:ascii="Calibri" w:eastAsia="Calibri" w:hAnsi="Calibri"/>
      <w:sz w:val="22"/>
      <w:szCs w:val="22"/>
      <w:lang w:val="en-US"/>
    </w:rPr>
  </w:style>
  <w:style w:type="numbering" w:customStyle="1" w:styleId="NoList2">
    <w:name w:val="No List2"/>
    <w:next w:val="NoList"/>
    <w:uiPriority w:val="99"/>
    <w:unhideWhenUsed/>
    <w:rsid w:val="00C9597C"/>
  </w:style>
  <w:style w:type="table" w:customStyle="1" w:styleId="MediumGrid1-Accent12">
    <w:name w:val="Medium Grid 1 - Accent 1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
    <w:name w:val="Light Grid - Accent 11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
    <w:name w:val="Light Grid - Accent 5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
    <w:name w:val="Light Grid - Accent 1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
    <w:name w:val="Light List - Accent 5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
    <w:name w:val="Light List - Accent 11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
    <w:name w:val="Light Grid - Accent 1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
    <w:name w:val="Medium Grid 1 - Accent 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
    <w:name w:val="Grid Table 4 Accent 3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
    <w:name w:val="No List3"/>
    <w:next w:val="NoList"/>
    <w:uiPriority w:val="99"/>
    <w:unhideWhenUsed/>
    <w:rsid w:val="00C9597C"/>
  </w:style>
  <w:style w:type="table" w:customStyle="1" w:styleId="MediumGrid1-Accent13">
    <w:name w:val="Medium Grid 1 - Accent 13"/>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
    <w:name w:val="Light Grid - Accent 113"/>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
    <w:name w:val="Light Grid - Accent 53"/>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
    <w:name w:val="Light Grid - Accent 12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
    <w:name w:val="Light List - Accent 53"/>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
    <w:name w:val="Light List - Accent 113"/>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
    <w:name w:val="Light Grid - Accent 133"/>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
    <w:name w:val="Medium Grid 1 - Accent 33"/>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
    <w:name w:val="Grid Table 4 Accent 3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paragraph" w:styleId="HTMLPreformatted">
    <w:name w:val="HTML Preformatted"/>
    <w:basedOn w:val="Normal"/>
    <w:link w:val="HTMLPreformattedChar"/>
    <w:uiPriority w:val="99"/>
    <w:unhideWhenUsed/>
    <w:qFormat/>
    <w:rsid w:val="00C959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597C"/>
    <w:rPr>
      <w:rFonts w:ascii="Courier New" w:eastAsia="Times New Roman" w:hAnsi="Courier New" w:cs="Courier New"/>
      <w:sz w:val="20"/>
      <w:szCs w:val="20"/>
      <w:lang w:val="en-US"/>
    </w:rPr>
  </w:style>
  <w:style w:type="character" w:customStyle="1" w:styleId="unicode">
    <w:name w:val="unicode"/>
    <w:basedOn w:val="DefaultParagraphFont"/>
    <w:rsid w:val="00C9597C"/>
  </w:style>
  <w:style w:type="character" w:customStyle="1" w:styleId="fn">
    <w:name w:val="fn"/>
    <w:basedOn w:val="DefaultParagraphFont"/>
    <w:rsid w:val="00C9597C"/>
  </w:style>
  <w:style w:type="table" w:customStyle="1" w:styleId="TableGrid1">
    <w:name w:val="Table Grid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C9597C"/>
  </w:style>
  <w:style w:type="character" w:customStyle="1" w:styleId="aqj">
    <w:name w:val="aqj"/>
    <w:basedOn w:val="DefaultParagraphFont"/>
    <w:rsid w:val="00C9597C"/>
  </w:style>
  <w:style w:type="character" w:customStyle="1" w:styleId="slc367992977963056178">
    <w:name w:val="sl_c_36799297_79_63056178"/>
    <w:basedOn w:val="DefaultParagraphFont"/>
    <w:rsid w:val="00C9597C"/>
  </w:style>
  <w:style w:type="character" w:customStyle="1" w:styleId="slc3679929710863056178">
    <w:name w:val="sl_c_36799297_108_63056178"/>
    <w:basedOn w:val="DefaultParagraphFont"/>
    <w:rsid w:val="00C9597C"/>
  </w:style>
  <w:style w:type="paragraph" w:styleId="Subtitle">
    <w:name w:val="Subtitle"/>
    <w:basedOn w:val="Normal"/>
    <w:next w:val="Normal"/>
    <w:link w:val="SubtitleChar"/>
    <w:qFormat/>
    <w:rsid w:val="00C9597C"/>
    <w:pPr>
      <w:keepNext/>
      <w:keepLines/>
      <w:spacing w:before="360" w:after="80"/>
      <w:contextualSpacing/>
      <w:jc w:val="both"/>
    </w:pPr>
    <w:rPr>
      <w:rFonts w:ascii="Georgia" w:eastAsia="Georgia" w:hAnsi="Georgia" w:cs="Georgia"/>
      <w:i/>
      <w:color w:val="666666"/>
      <w:sz w:val="48"/>
      <w:szCs w:val="48"/>
      <w:lang w:val="en-IN" w:eastAsia="en-IN"/>
    </w:rPr>
  </w:style>
  <w:style w:type="character" w:customStyle="1" w:styleId="SubtitleChar">
    <w:name w:val="Subtitle Char"/>
    <w:basedOn w:val="DefaultParagraphFont"/>
    <w:link w:val="Subtitle"/>
    <w:rsid w:val="00C9597C"/>
    <w:rPr>
      <w:rFonts w:ascii="Georgia" w:eastAsia="Georgia" w:hAnsi="Georgia" w:cs="Georgia"/>
      <w:i/>
      <w:color w:val="666666"/>
      <w:sz w:val="48"/>
      <w:szCs w:val="48"/>
      <w:lang w:val="en-IN" w:eastAsia="en-IN"/>
    </w:rPr>
  </w:style>
  <w:style w:type="character" w:customStyle="1" w:styleId="lede-headlinehighlighted">
    <w:name w:val="lede-headline__highlighted"/>
    <w:basedOn w:val="DefaultParagraphFont"/>
    <w:rsid w:val="00C9597C"/>
  </w:style>
  <w:style w:type="character" w:customStyle="1" w:styleId="mfirst-letter">
    <w:name w:val="m_first-letter"/>
    <w:basedOn w:val="DefaultParagraphFont"/>
    <w:rsid w:val="00C9597C"/>
  </w:style>
  <w:style w:type="character" w:customStyle="1" w:styleId="dictionary">
    <w:name w:val="dictionary"/>
    <w:basedOn w:val="DefaultParagraphFont"/>
    <w:rsid w:val="00C9597C"/>
  </w:style>
  <w:style w:type="table" w:customStyle="1" w:styleId="TableGrid2">
    <w:name w:val="Table Grid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unhideWhenUsed/>
    <w:rsid w:val="00C9597C"/>
  </w:style>
  <w:style w:type="table" w:customStyle="1" w:styleId="MediumGrid1-Accent14">
    <w:name w:val="Medium Grid 1 - Accent 14"/>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4">
    <w:name w:val="Light Grid - Accent 114"/>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4">
    <w:name w:val="Light Grid - Accent 54"/>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4">
    <w:name w:val="Light Grid - Accent 12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4">
    <w:name w:val="Light List - Accent 54"/>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4">
    <w:name w:val="Light List - Accent 114"/>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4">
    <w:name w:val="Light Grid - Accent 134"/>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4">
    <w:name w:val="Medium Grid 1 - Accent 34"/>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TableGrid3">
    <w:name w:val="Table Grid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
    <w:name w:val="Medium Grid 3 - Accent 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
    <w:name w:val="No List11"/>
    <w:next w:val="NoList"/>
    <w:uiPriority w:val="99"/>
    <w:unhideWhenUsed/>
    <w:rsid w:val="00C9597C"/>
  </w:style>
  <w:style w:type="table" w:customStyle="1" w:styleId="MediumGrid1-Accent111">
    <w:name w:val="Medium Grid 1 - Accent 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
    <w:name w:val="Light Grid - Accent 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
    <w:name w:val="Light Grid - Accent 5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
    <w:name w:val="Light Grid - Accent 1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
    <w:name w:val="Light List - Accent 5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
    <w:name w:val="Light List - Accent 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
    <w:name w:val="Light Grid - Accent 1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
    <w:name w:val="Medium Grid 1 - Accent 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
    <w:name w:val="Grid Table 4 - Accent 3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
    <w:name w:val="No List21"/>
    <w:next w:val="NoList"/>
    <w:uiPriority w:val="99"/>
    <w:unhideWhenUsed/>
    <w:rsid w:val="00C9597C"/>
  </w:style>
  <w:style w:type="table" w:customStyle="1" w:styleId="MediumGrid1-Accent121">
    <w:name w:val="Medium Grid 1 - Accent 12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1">
    <w:name w:val="Light Grid - Accent 112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1">
    <w:name w:val="Light Grid - Accent 52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1">
    <w:name w:val="Light Grid - Accent 12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1">
    <w:name w:val="Light List - Accent 52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1">
    <w:name w:val="Light List - Accent 112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1">
    <w:name w:val="Light Grid - Accent 132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1">
    <w:name w:val="Medium Grid 1 - Accent 32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1">
    <w:name w:val="Grid Table 4 Accent 31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1">
    <w:name w:val="No List31"/>
    <w:next w:val="NoList"/>
    <w:uiPriority w:val="99"/>
    <w:unhideWhenUsed/>
    <w:rsid w:val="00C9597C"/>
  </w:style>
  <w:style w:type="table" w:customStyle="1" w:styleId="MediumGrid1-Accent131">
    <w:name w:val="Medium Grid 1 - Accent 131"/>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1">
    <w:name w:val="Light Grid - Accent 1131"/>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1">
    <w:name w:val="Light Grid - Accent 531"/>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1">
    <w:name w:val="Light Grid - Accent 12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1">
    <w:name w:val="Light List - Accent 531"/>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1">
    <w:name w:val="Light List - Accent 1131"/>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1">
    <w:name w:val="Light Grid - Accent 1331"/>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1">
    <w:name w:val="Medium Grid 1 - Accent 331"/>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1">
    <w:name w:val="Grid Table 4 Accent 321"/>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1">
    <w:name w:val="Table Grid11"/>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unhideWhenUsed/>
    <w:rsid w:val="00C9597C"/>
  </w:style>
  <w:style w:type="table" w:customStyle="1" w:styleId="TableGrid4">
    <w:name w:val="Table Grid4"/>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
    <w:name w:val="Medium Grid 3 - Accent 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
    <w:name w:val="Medium Grid 1 - Accent 15"/>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
    <w:name w:val="Light Grid - Accent 115"/>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
    <w:name w:val="Light Grid - Accent 55"/>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
    <w:name w:val="Light Grid - Accent 125"/>
    <w:basedOn w:val="TableNormal"/>
    <w:uiPriority w:val="62"/>
    <w:qFormat/>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
    <w:name w:val="Light List - Accent 55"/>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
    <w:name w:val="Light List - Accent 115"/>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
    <w:name w:val="Light Grid - Accent 1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
    <w:name w:val="Medium Grid 1 - Accent 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
    <w:name w:val="No List12"/>
    <w:next w:val="NoList"/>
    <w:uiPriority w:val="99"/>
    <w:unhideWhenUsed/>
    <w:rsid w:val="00C9597C"/>
  </w:style>
  <w:style w:type="table" w:customStyle="1" w:styleId="MediumGrid1-Accent112">
    <w:name w:val="Medium Grid 1 - Accent 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
    <w:name w:val="Light Grid - Accent 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
    <w:name w:val="Light Grid - Accent 5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
    <w:name w:val="Light Grid - Accent 1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
    <w:name w:val="Light List - Accent 5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
    <w:name w:val="Light List - Accent 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
    <w:name w:val="Light Grid - Accent 1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
    <w:name w:val="Medium Grid 1 - Accent 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
    <w:name w:val="Grid Table 4 - Accent 3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
    <w:name w:val="No List22"/>
    <w:next w:val="NoList"/>
    <w:uiPriority w:val="99"/>
    <w:unhideWhenUsed/>
    <w:rsid w:val="00C9597C"/>
  </w:style>
  <w:style w:type="table" w:customStyle="1" w:styleId="MediumGrid1-Accent122">
    <w:name w:val="Medium Grid 1 - Accent 12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22">
    <w:name w:val="Light Grid - Accent 112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22">
    <w:name w:val="Light Grid - Accent 52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22">
    <w:name w:val="Light Grid - Accent 12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22">
    <w:name w:val="Light List - Accent 52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22">
    <w:name w:val="Light List - Accent 112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22">
    <w:name w:val="Light Grid - Accent 132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22">
    <w:name w:val="Medium Grid 1 - Accent 32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12">
    <w:name w:val="Grid Table 4 Accent 31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numbering" w:customStyle="1" w:styleId="NoList32">
    <w:name w:val="No List32"/>
    <w:next w:val="NoList"/>
    <w:uiPriority w:val="99"/>
    <w:unhideWhenUsed/>
    <w:rsid w:val="00C9597C"/>
  </w:style>
  <w:style w:type="table" w:customStyle="1" w:styleId="MediumGrid1-Accent132">
    <w:name w:val="Medium Grid 1 - Accent 132"/>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32">
    <w:name w:val="Light Grid - Accent 1132"/>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32">
    <w:name w:val="Light Grid - Accent 532"/>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32">
    <w:name w:val="Light Grid - Accent 12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32">
    <w:name w:val="Light List - Accent 532"/>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32">
    <w:name w:val="Light List - Accent 1132"/>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32">
    <w:name w:val="Light Grid - Accent 1332"/>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32">
    <w:name w:val="Medium Grid 1 - Accent 332"/>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customStyle="1" w:styleId="GridTable4Accent322">
    <w:name w:val="Grid Table 4 Accent 322"/>
    <w:basedOn w:val="TableNormal"/>
    <w:uiPriority w:val="49"/>
    <w:rsid w:val="00C9597C"/>
    <w:pPr>
      <w:jc w:val="both"/>
    </w:pPr>
    <w:rPr>
      <w:rFonts w:ascii="Times New Roman" w:hAnsi="Times New Roman"/>
      <w:lang w:val="en-IN"/>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TableGrid12">
    <w:name w:val="Table Grid12"/>
    <w:basedOn w:val="TableNormal"/>
    <w:next w:val="TableGrid"/>
    <w:uiPriority w:val="39"/>
    <w:rsid w:val="00C9597C"/>
    <w:rPr>
      <w:rFonts w:asciiTheme="minorHAnsi" w:hAnsiTheme="minorHAnsi" w:cstheme="minorBidi"/>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
    <w:name w:val="No List6"/>
    <w:next w:val="NoList"/>
    <w:uiPriority w:val="99"/>
    <w:unhideWhenUsed/>
    <w:rsid w:val="00C9597C"/>
  </w:style>
  <w:style w:type="table" w:customStyle="1" w:styleId="MediumGrid1-Accent16">
    <w:name w:val="Medium Grid 1 - Accent 16"/>
    <w:basedOn w:val="TableNormal"/>
    <w:next w:val="MediumGrid1-Accent1"/>
    <w:uiPriority w:val="67"/>
    <w:rsid w:val="00C9597C"/>
    <w:pPr>
      <w:jc w:val="both"/>
    </w:pPr>
    <w:rPr>
      <w:rFonts w:ascii="Times New Roman" w:hAnsi="Times New Roman"/>
      <w:lang w:val="en-IN"/>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customStyle="1" w:styleId="LightGrid-Accent116">
    <w:name w:val="Light Grid - Accent 116"/>
    <w:basedOn w:val="TableNormal"/>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Grid-Accent56">
    <w:name w:val="Light Grid - Accent 56"/>
    <w:basedOn w:val="TableNormal"/>
    <w:next w:val="LightGrid-Accent5"/>
    <w:uiPriority w:val="62"/>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insideH w:val="single" w:sz="8" w:space="0" w:color="4472C4" w:themeColor="accent5"/>
        <w:insideV w:val="single" w:sz="8" w:space="0" w:color="4472C4"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18" w:space="0" w:color="4472C4" w:themeColor="accent5"/>
          <w:right w:val="single" w:sz="8" w:space="0" w:color="4472C4" w:themeColor="accent5"/>
          <w:insideH w:val="nil"/>
          <w:insideV w:val="single" w:sz="8" w:space="0" w:color="4472C4"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insideH w:val="nil"/>
          <w:insideV w:val="single" w:sz="8" w:space="0" w:color="4472C4"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shd w:val="clear" w:color="auto" w:fill="D0DBF0" w:themeFill="accent5" w:themeFillTint="3F"/>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shd w:val="clear" w:color="auto" w:fill="D0DBF0" w:themeFill="accent5" w:themeFillTint="3F"/>
      </w:tcPr>
    </w:tblStylePr>
    <w:tblStylePr w:type="band2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insideV w:val="single" w:sz="8" w:space="0" w:color="4472C4" w:themeColor="accent5"/>
        </w:tcBorders>
      </w:tcPr>
    </w:tblStylePr>
  </w:style>
  <w:style w:type="table" w:customStyle="1" w:styleId="LightGrid-Accent126">
    <w:name w:val="Light Grid - Accent 12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LightList-Accent56">
    <w:name w:val="Light List - Accent 56"/>
    <w:basedOn w:val="TableNormal"/>
    <w:next w:val="LightList-Accent5"/>
    <w:uiPriority w:val="61"/>
    <w:rsid w:val="00C9597C"/>
    <w:pPr>
      <w:jc w:val="both"/>
    </w:pPr>
    <w:rPr>
      <w:rFonts w:asciiTheme="minorHAnsi" w:hAnsiTheme="minorHAnsi" w:cstheme="minorBidi"/>
      <w:sz w:val="22"/>
      <w:szCs w:val="22"/>
      <w:lang w:val="en-US"/>
    </w:r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LightList-Accent116">
    <w:name w:val="Light List - Accent 116"/>
    <w:basedOn w:val="TableNormal"/>
    <w:uiPriority w:val="61"/>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LightGrid-Accent136">
    <w:name w:val="Light Grid - Accent 136"/>
    <w:basedOn w:val="TableNormal"/>
    <w:uiPriority w:val="62"/>
    <w:rsid w:val="00C9597C"/>
    <w:pPr>
      <w:jc w:val="both"/>
    </w:pPr>
    <w:rPr>
      <w:rFonts w:ascii="Times New Roman" w:hAnsi="Times New Roman"/>
      <w:lang w:val="en-IN"/>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customStyle="1" w:styleId="MediumGrid1-Accent36">
    <w:name w:val="Medium Grid 1 - Accent 36"/>
    <w:basedOn w:val="TableNormal"/>
    <w:next w:val="MediumGrid1-Accent3"/>
    <w:uiPriority w:val="67"/>
    <w:rsid w:val="00C9597C"/>
    <w:pPr>
      <w:jc w:val="both"/>
    </w:pPr>
    <w:rPr>
      <w:rFonts w:ascii="Times New Roman" w:hAnsi="Times New Roman"/>
      <w:lang w:val="en-IN"/>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numbering" w:customStyle="1" w:styleId="NoList13">
    <w:name w:val="No List13"/>
    <w:next w:val="NoList"/>
    <w:uiPriority w:val="99"/>
    <w:unhideWhenUsed/>
    <w:rsid w:val="00C9597C"/>
  </w:style>
  <w:style w:type="numbering" w:customStyle="1" w:styleId="NoList23">
    <w:name w:val="No List23"/>
    <w:next w:val="NoList"/>
    <w:uiPriority w:val="99"/>
    <w:unhideWhenUsed/>
    <w:rsid w:val="00C9597C"/>
  </w:style>
  <w:style w:type="numbering" w:customStyle="1" w:styleId="NoList33">
    <w:name w:val="No List33"/>
    <w:next w:val="NoList"/>
    <w:uiPriority w:val="99"/>
    <w:unhideWhenUsed/>
    <w:rsid w:val="00C9597C"/>
  </w:style>
  <w:style w:type="numbering" w:customStyle="1" w:styleId="NoList7">
    <w:name w:val="No List7"/>
    <w:next w:val="NoList"/>
    <w:uiPriority w:val="99"/>
    <w:unhideWhenUsed/>
    <w:rsid w:val="00C9597C"/>
  </w:style>
  <w:style w:type="table" w:customStyle="1" w:styleId="TableGrid5">
    <w:name w:val="Table Grid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
    <w:name w:val="Medium Grid 3 - Accent 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
    <w:name w:val="Medium Grid 1 - Accent 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
    <w:name w:val="Light Grid - Accent 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
    <w:name w:val="Light Grid - Accent 5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
    <w:name w:val="Light Grid - Accent 12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
    <w:name w:val="Light List - Accent 5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
    <w:name w:val="Light List - Accent 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
    <w:name w:val="Light Grid - Accent 1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
    <w:name w:val="Medium Grid 1 - Accent 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
    <w:name w:val="No List14"/>
    <w:next w:val="NoList"/>
    <w:uiPriority w:val="99"/>
    <w:unhideWhenUsed/>
    <w:rsid w:val="00C9597C"/>
  </w:style>
  <w:style w:type="table" w:customStyle="1" w:styleId="MediumGrid1-Accent113">
    <w:name w:val="Medium Grid 1 - Accent 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
    <w:name w:val="Light Grid - Accent 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
    <w:name w:val="Light Grid - Accent 5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
    <w:name w:val="Light Grid - Accent 1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
    <w:name w:val="Light List - Accent 5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
    <w:name w:val="Light List - Accent 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
    <w:name w:val="Light Grid - Accent 1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
    <w:name w:val="Medium Grid 1 - Accent 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
    <w:name w:val="Grid Table 4 -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
    <w:name w:val="No List24"/>
    <w:next w:val="NoList"/>
    <w:uiPriority w:val="99"/>
    <w:unhideWhenUsed/>
    <w:rsid w:val="00C9597C"/>
  </w:style>
  <w:style w:type="table" w:customStyle="1" w:styleId="MediumGrid1-Accent123">
    <w:name w:val="Medium Grid 1 - Accent 12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
    <w:name w:val="Light Grid - Accent 112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
    <w:name w:val="Light Grid - Accent 52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
    <w:name w:val="Light Grid - Accent 12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
    <w:name w:val="Light List - Accent 52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
    <w:name w:val="Light List - Accent 112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
    <w:name w:val="Light Grid - Accent 132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
    <w:name w:val="Medium Grid 1 - Accent 32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
    <w:name w:val="Grid Table 4 Accent 3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
    <w:name w:val="No List34"/>
    <w:next w:val="NoList"/>
    <w:uiPriority w:val="99"/>
    <w:unhideWhenUsed/>
    <w:rsid w:val="00C9597C"/>
  </w:style>
  <w:style w:type="table" w:customStyle="1" w:styleId="MediumGrid1-Accent133">
    <w:name w:val="Medium Grid 1 - Accent 13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
    <w:name w:val="Light Grid - Accent 113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
    <w:name w:val="Light Grid - Accent 53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
    <w:name w:val="Light Grid - Accent 12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
    <w:name w:val="Light List - Accent 53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
    <w:name w:val="Light List - Accent 113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
    <w:name w:val="Light Grid - Accent 133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
    <w:name w:val="Medium Grid 1 - Accent 33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
    <w:name w:val="Grid Table 4 Accent 32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
    <w:name w:val="Table Grid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unhideWhenUsed/>
    <w:rsid w:val="00C9597C"/>
  </w:style>
  <w:style w:type="table" w:customStyle="1" w:styleId="MediumGrid1-Accent141">
    <w:name w:val="Medium Grid 1 - Accent 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
    <w:name w:val="Light Grid - Accent 1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
    <w:name w:val="Light Grid - Accent 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
    <w:name w:val="Light Grid - Accent 1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
    <w:name w:val="Light List - Accent 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
    <w:name w:val="Light List - Accent 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
    <w:name w:val="Light Grid - Accent 1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
    <w:name w:val="Medium Grid 1 - Accent 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
    <w:name w:val="Table Grid2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
    <w:name w:val="Medium Grid 3 - Accent 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
    <w:name w:val="No List111"/>
    <w:next w:val="NoList"/>
    <w:uiPriority w:val="99"/>
    <w:unhideWhenUsed/>
    <w:rsid w:val="00C9597C"/>
  </w:style>
  <w:style w:type="table" w:customStyle="1" w:styleId="MediumGrid1-Accent1111">
    <w:name w:val="Medium Grid 1 - Accent 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
    <w:name w:val="Light Grid - Accent 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
    <w:name w:val="Light Grid - Accent 5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
    <w:name w:val="Light Grid - Accent 1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
    <w:name w:val="Light List - Accent 5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
    <w:name w:val="Light List - Accent 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
    <w:name w:val="Light Grid - Accent 1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
    <w:name w:val="Medium Grid 1 - Accent 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
    <w:name w:val="Grid Table 4 -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
    <w:name w:val="No List211"/>
    <w:next w:val="NoList"/>
    <w:uiPriority w:val="99"/>
    <w:unhideWhenUsed/>
    <w:rsid w:val="00C9597C"/>
  </w:style>
  <w:style w:type="table" w:customStyle="1" w:styleId="MediumGrid1-Accent1211">
    <w:name w:val="Medium Grid 1 - Accent 12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
    <w:name w:val="Light Grid - Accent 112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
    <w:name w:val="Light Grid - Accent 52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
    <w:name w:val="Light Grid - Accent 12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
    <w:name w:val="Light List - Accent 52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
    <w:name w:val="Light List - Accent 112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
    <w:name w:val="Light Grid - Accent 132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
    <w:name w:val="Medium Grid 1 - Accent 32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
    <w:name w:val="Grid Table 4 Accent 3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
    <w:name w:val="No List311"/>
    <w:next w:val="NoList"/>
    <w:uiPriority w:val="99"/>
    <w:unhideWhenUsed/>
    <w:rsid w:val="00C9597C"/>
  </w:style>
  <w:style w:type="table" w:customStyle="1" w:styleId="MediumGrid1-Accent1311">
    <w:name w:val="Medium Grid 1 - Accent 13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
    <w:name w:val="Light Grid - Accent 113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
    <w:name w:val="Light Grid - Accent 53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
    <w:name w:val="Light Grid - Accent 12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
    <w:name w:val="Light List - Accent 53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
    <w:name w:val="Light List - Accent 113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
    <w:name w:val="Light Grid - Accent 133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
    <w:name w:val="Medium Grid 1 - Accent 33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
    <w:name w:val="Grid Table 4 Accent 32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
    <w:name w:val="Table Grid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unhideWhenUsed/>
    <w:rsid w:val="00C9597C"/>
  </w:style>
  <w:style w:type="table" w:customStyle="1" w:styleId="MediumGrid1-Accent151">
    <w:name w:val="Medium Grid 1 - Accent 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
    <w:name w:val="Light Grid - Accent 1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
    <w:name w:val="Light Grid - Accent 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
    <w:name w:val="Light Grid - Accent 1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
    <w:name w:val="Light List - Accent 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
    <w:name w:val="Light List - Accent 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
    <w:name w:val="Light Grid - Accent 1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
    <w:name w:val="Medium Grid 1 - Accent 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
    <w:name w:val="No List121"/>
    <w:next w:val="NoList"/>
    <w:uiPriority w:val="99"/>
    <w:unhideWhenUsed/>
    <w:rsid w:val="00C9597C"/>
  </w:style>
  <w:style w:type="numbering" w:customStyle="1" w:styleId="NoList221">
    <w:name w:val="No List221"/>
    <w:next w:val="NoList"/>
    <w:uiPriority w:val="99"/>
    <w:unhideWhenUsed/>
    <w:rsid w:val="00C9597C"/>
  </w:style>
  <w:style w:type="numbering" w:customStyle="1" w:styleId="NoList321">
    <w:name w:val="No List321"/>
    <w:next w:val="NoList"/>
    <w:uiPriority w:val="99"/>
    <w:unhideWhenUsed/>
    <w:rsid w:val="00C9597C"/>
  </w:style>
  <w:style w:type="numbering" w:customStyle="1" w:styleId="NoList61">
    <w:name w:val="No List61"/>
    <w:next w:val="NoList"/>
    <w:uiPriority w:val="99"/>
    <w:unhideWhenUsed/>
    <w:rsid w:val="00C9597C"/>
  </w:style>
  <w:style w:type="table" w:customStyle="1" w:styleId="MediumGrid1-Accent161">
    <w:name w:val="Medium Grid 1 - Accent 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
    <w:name w:val="Light Grid - Accent 11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
    <w:name w:val="Light Grid - Accent 5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
    <w:name w:val="Light Grid - Accent 1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
    <w:name w:val="Light List - Accent 5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
    <w:name w:val="Light List - Accent 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
    <w:name w:val="Light Grid - Accent 1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
    <w:name w:val="Medium Grid 1 - Accent 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
    <w:name w:val="No List131"/>
    <w:next w:val="NoList"/>
    <w:uiPriority w:val="99"/>
    <w:unhideWhenUsed/>
    <w:rsid w:val="00C9597C"/>
  </w:style>
  <w:style w:type="numbering" w:customStyle="1" w:styleId="NoList231">
    <w:name w:val="No List231"/>
    <w:next w:val="NoList"/>
    <w:uiPriority w:val="99"/>
    <w:unhideWhenUsed/>
    <w:rsid w:val="00C9597C"/>
  </w:style>
  <w:style w:type="numbering" w:customStyle="1" w:styleId="NoList331">
    <w:name w:val="No List331"/>
    <w:next w:val="NoList"/>
    <w:uiPriority w:val="99"/>
    <w:unhideWhenUsed/>
    <w:rsid w:val="00C9597C"/>
  </w:style>
  <w:style w:type="numbering" w:customStyle="1" w:styleId="NoList8">
    <w:name w:val="No List8"/>
    <w:next w:val="NoList"/>
    <w:uiPriority w:val="99"/>
    <w:unhideWhenUsed/>
    <w:rsid w:val="00C9597C"/>
  </w:style>
  <w:style w:type="table" w:customStyle="1" w:styleId="TableGrid6">
    <w:name w:val="Table Grid6"/>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
    <w:name w:val="Medium Grid 3 - Accent 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
    <w:name w:val="Medium Grid 1 - Accent 18"/>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
    <w:name w:val="Light Grid - Accent 118"/>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
    <w:name w:val="Light Grid - Accent 58"/>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
    <w:name w:val="Light Grid - Accent 128"/>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
    <w:name w:val="Light List - Accent 58"/>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
    <w:name w:val="Light List - Accent 118"/>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
    <w:name w:val="Light Grid - Accent 1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
    <w:name w:val="Medium Grid 1 - Accent 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
    <w:name w:val="No List15"/>
    <w:next w:val="NoList"/>
    <w:uiPriority w:val="99"/>
    <w:unhideWhenUsed/>
    <w:rsid w:val="00C9597C"/>
  </w:style>
  <w:style w:type="table" w:customStyle="1" w:styleId="MediumGrid1-Accent114">
    <w:name w:val="Medium Grid 1 - Accent 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
    <w:name w:val="Light Grid - Accent 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
    <w:name w:val="Light Grid - Accent 5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
    <w:name w:val="Light Grid - Accent 1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
    <w:name w:val="Light List - Accent 5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
    <w:name w:val="Light List - Accent 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
    <w:name w:val="Light Grid - Accent 1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
    <w:name w:val="Medium Grid 1 - Accent 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
    <w:name w:val="Grid Table 4 -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
    <w:name w:val="No List25"/>
    <w:next w:val="NoList"/>
    <w:uiPriority w:val="99"/>
    <w:unhideWhenUsed/>
    <w:rsid w:val="00C9597C"/>
  </w:style>
  <w:style w:type="table" w:customStyle="1" w:styleId="MediumGrid1-Accent124">
    <w:name w:val="Medium Grid 1 - Accent 12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
    <w:name w:val="Light Grid - Accent 112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
    <w:name w:val="Light Grid - Accent 52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
    <w:name w:val="Light Grid - Accent 12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
    <w:name w:val="Light List - Accent 52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
    <w:name w:val="Light List - Accent 112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
    <w:name w:val="Light Grid - Accent 132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
    <w:name w:val="Medium Grid 1 - Accent 32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
    <w:name w:val="Grid Table 4 Accent 3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
    <w:name w:val="No List35"/>
    <w:next w:val="NoList"/>
    <w:uiPriority w:val="99"/>
    <w:unhideWhenUsed/>
    <w:rsid w:val="00C9597C"/>
  </w:style>
  <w:style w:type="table" w:customStyle="1" w:styleId="MediumGrid1-Accent134">
    <w:name w:val="Medium Grid 1 - Accent 13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
    <w:name w:val="Light Grid - Accent 113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
    <w:name w:val="Light Grid - Accent 53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
    <w:name w:val="Light Grid - Accent 12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
    <w:name w:val="Light List - Accent 53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
    <w:name w:val="Light List - Accent 113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
    <w:name w:val="Light Grid - Accent 133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
    <w:name w:val="Medium Grid 1 - Accent 33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
    <w:name w:val="Grid Table 4 Accent 32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
    <w:name w:val="Table Grid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
    <w:name w:val="No List42"/>
    <w:next w:val="NoList"/>
    <w:uiPriority w:val="99"/>
    <w:unhideWhenUsed/>
    <w:rsid w:val="00C9597C"/>
  </w:style>
  <w:style w:type="table" w:customStyle="1" w:styleId="MediumGrid1-Accent142">
    <w:name w:val="Medium Grid 1 - Accent 14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
    <w:name w:val="Light Grid - Accent 114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
    <w:name w:val="Light Grid - Accent 54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
    <w:name w:val="Light Grid - Accent 12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
    <w:name w:val="Light List - Accent 54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
    <w:name w:val="Light List - Accent 114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
    <w:name w:val="Light Grid - Accent 134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
    <w:name w:val="Medium Grid 1 - Accent 34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
    <w:name w:val="Table Grid212"/>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
    <w:name w:val="Medium Grid 3 - Accent 112"/>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
    <w:name w:val="No List112"/>
    <w:next w:val="NoList"/>
    <w:uiPriority w:val="99"/>
    <w:unhideWhenUsed/>
    <w:rsid w:val="00C9597C"/>
  </w:style>
  <w:style w:type="table" w:customStyle="1" w:styleId="MediumGrid1-Accent1112">
    <w:name w:val="Medium Grid 1 - Accent 11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
    <w:name w:val="Light Grid - Accent 11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
    <w:name w:val="Light Grid - Accent 5112"/>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
    <w:name w:val="Light Grid - Accent 12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
    <w:name w:val="Light List - Accent 5112"/>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
    <w:name w:val="Light List - Accent 111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
    <w:name w:val="Light Grid - Accent 131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
    <w:name w:val="Medium Grid 1 - Accent 31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
    <w:name w:val="Grid Table 4 -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
    <w:name w:val="No List212"/>
    <w:next w:val="NoList"/>
    <w:uiPriority w:val="99"/>
    <w:unhideWhenUsed/>
    <w:rsid w:val="00C9597C"/>
  </w:style>
  <w:style w:type="table" w:customStyle="1" w:styleId="MediumGrid1-Accent1212">
    <w:name w:val="Medium Grid 1 - Accent 12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
    <w:name w:val="Light Grid - Accent 112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
    <w:name w:val="Light Grid - Accent 52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
    <w:name w:val="Light Grid - Accent 12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
    <w:name w:val="Light List - Accent 52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
    <w:name w:val="Light List - Accent 112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
    <w:name w:val="Light Grid - Accent 132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
    <w:name w:val="Medium Grid 1 - Accent 32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
    <w:name w:val="Grid Table 4 Accent 31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
    <w:name w:val="No List312"/>
    <w:next w:val="NoList"/>
    <w:uiPriority w:val="99"/>
    <w:unhideWhenUsed/>
    <w:rsid w:val="00C9597C"/>
  </w:style>
  <w:style w:type="table" w:customStyle="1" w:styleId="MediumGrid1-Accent1312">
    <w:name w:val="Medium Grid 1 - Accent 131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
    <w:name w:val="Light Grid - Accent 1131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
    <w:name w:val="Light Grid - Accent 531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
    <w:name w:val="Light Grid - Accent 12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
    <w:name w:val="Light List - Accent 531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
    <w:name w:val="Light List - Accent 1131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
    <w:name w:val="Light Grid - Accent 1331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
    <w:name w:val="Medium Grid 1 - Accent 331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
    <w:name w:val="Grid Table 4 Accent 3212"/>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
    <w:name w:val="Table Grid112"/>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
    <w:name w:val="No List52"/>
    <w:next w:val="NoList"/>
    <w:uiPriority w:val="99"/>
    <w:unhideWhenUsed/>
    <w:rsid w:val="00C9597C"/>
  </w:style>
  <w:style w:type="table" w:customStyle="1" w:styleId="MediumGrid1-Accent152">
    <w:name w:val="Medium Grid 1 - Accent 15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
    <w:name w:val="Light Grid - Accent 115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
    <w:name w:val="Light Grid - Accent 55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
    <w:name w:val="Light Grid - Accent 12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
    <w:name w:val="Light List - Accent 55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
    <w:name w:val="Light List - Accent 115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
    <w:name w:val="Light Grid - Accent 135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
    <w:name w:val="Medium Grid 1 - Accent 35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
    <w:name w:val="No List122"/>
    <w:next w:val="NoList"/>
    <w:uiPriority w:val="99"/>
    <w:unhideWhenUsed/>
    <w:rsid w:val="00C9597C"/>
  </w:style>
  <w:style w:type="numbering" w:customStyle="1" w:styleId="NoList222">
    <w:name w:val="No List222"/>
    <w:next w:val="NoList"/>
    <w:uiPriority w:val="99"/>
    <w:unhideWhenUsed/>
    <w:rsid w:val="00C9597C"/>
  </w:style>
  <w:style w:type="numbering" w:customStyle="1" w:styleId="NoList322">
    <w:name w:val="No List322"/>
    <w:next w:val="NoList"/>
    <w:uiPriority w:val="99"/>
    <w:unhideWhenUsed/>
    <w:rsid w:val="00C9597C"/>
  </w:style>
  <w:style w:type="numbering" w:customStyle="1" w:styleId="NoList62">
    <w:name w:val="No List62"/>
    <w:next w:val="NoList"/>
    <w:uiPriority w:val="99"/>
    <w:unhideWhenUsed/>
    <w:rsid w:val="00C9597C"/>
  </w:style>
  <w:style w:type="table" w:customStyle="1" w:styleId="MediumGrid1-Accent162">
    <w:name w:val="Medium Grid 1 - Accent 162"/>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
    <w:name w:val="Light Grid - Accent 1162"/>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
    <w:name w:val="Light Grid - Accent 562"/>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
    <w:name w:val="Light Grid - Accent 12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
    <w:name w:val="Light List - Accent 562"/>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
    <w:name w:val="Light List - Accent 1162"/>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
    <w:name w:val="Light Grid - Accent 1362"/>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
    <w:name w:val="Medium Grid 1 - Accent 362"/>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
    <w:name w:val="No List132"/>
    <w:next w:val="NoList"/>
    <w:uiPriority w:val="99"/>
    <w:unhideWhenUsed/>
    <w:rsid w:val="00C9597C"/>
  </w:style>
  <w:style w:type="numbering" w:customStyle="1" w:styleId="NoList232">
    <w:name w:val="No List232"/>
    <w:next w:val="NoList"/>
    <w:uiPriority w:val="99"/>
    <w:unhideWhenUsed/>
    <w:rsid w:val="00C9597C"/>
  </w:style>
  <w:style w:type="numbering" w:customStyle="1" w:styleId="NoList332">
    <w:name w:val="No List332"/>
    <w:next w:val="NoList"/>
    <w:uiPriority w:val="99"/>
    <w:unhideWhenUsed/>
    <w:rsid w:val="00C9597C"/>
  </w:style>
  <w:style w:type="numbering" w:customStyle="1" w:styleId="NoList9">
    <w:name w:val="No List9"/>
    <w:next w:val="NoList"/>
    <w:uiPriority w:val="99"/>
    <w:unhideWhenUsed/>
    <w:rsid w:val="00C9597C"/>
  </w:style>
  <w:style w:type="table" w:customStyle="1" w:styleId="TableGrid7">
    <w:name w:val="Table Grid7"/>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
    <w:name w:val="Medium Grid 3 - Accent 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
    <w:name w:val="Medium Grid 1 - Accent 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
    <w:name w:val="Light Grid - Accent 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
    <w:name w:val="Light Grid - Accent 5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
    <w:name w:val="Light Grid - Accent 12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
    <w:name w:val="Light List - Accent 5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
    <w:name w:val="Light List - Accent 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
    <w:name w:val="Light Grid - Accent 13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
    <w:name w:val="Medium Grid 1 - Accent 3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
    <w:name w:val="No List16"/>
    <w:next w:val="NoList"/>
    <w:uiPriority w:val="99"/>
    <w:unhideWhenUsed/>
    <w:rsid w:val="00C9597C"/>
  </w:style>
  <w:style w:type="table" w:customStyle="1" w:styleId="MediumGrid1-Accent115">
    <w:name w:val="Medium Grid 1 - Accent 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
    <w:name w:val="Light Grid - Accent 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
    <w:name w:val="Light Grid - Accent 5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
    <w:name w:val="Light Grid - Accent 1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
    <w:name w:val="Light List - Accent 5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
    <w:name w:val="Light List - Accent 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
    <w:name w:val="Light Grid - Accent 1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
    <w:name w:val="Medium Grid 1 - Accent 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
    <w:name w:val="Grid Table 4 -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
    <w:name w:val="No List26"/>
    <w:next w:val="NoList"/>
    <w:uiPriority w:val="99"/>
    <w:unhideWhenUsed/>
    <w:rsid w:val="00C9597C"/>
  </w:style>
  <w:style w:type="table" w:customStyle="1" w:styleId="MediumGrid1-Accent125">
    <w:name w:val="Medium Grid 1 - Accent 12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
    <w:name w:val="Light Grid - Accent 112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
    <w:name w:val="Light Grid - Accent 52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
    <w:name w:val="Light Grid - Accent 12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
    <w:name w:val="Light List - Accent 52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
    <w:name w:val="Light List - Accent 112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
    <w:name w:val="Light Grid - Accent 132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
    <w:name w:val="Medium Grid 1 - Accent 32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
    <w:name w:val="Grid Table 4 Accent 3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
    <w:name w:val="No List36"/>
    <w:next w:val="NoList"/>
    <w:uiPriority w:val="99"/>
    <w:unhideWhenUsed/>
    <w:rsid w:val="00C9597C"/>
  </w:style>
  <w:style w:type="table" w:customStyle="1" w:styleId="MediumGrid1-Accent135">
    <w:name w:val="Medium Grid 1 - Accent 13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
    <w:name w:val="Light Grid - Accent 113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
    <w:name w:val="Light Grid - Accent 53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
    <w:name w:val="Light Grid - Accent 12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
    <w:name w:val="Light List - Accent 53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
    <w:name w:val="Light List - Accent 113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
    <w:name w:val="Light Grid - Accent 133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
    <w:name w:val="Medium Grid 1 - Accent 33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
    <w:name w:val="Grid Table 4 Accent 32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
    <w:name w:val="Table Grid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
    <w:name w:val="No List43"/>
    <w:next w:val="NoList"/>
    <w:uiPriority w:val="99"/>
    <w:unhideWhenUsed/>
    <w:rsid w:val="00C9597C"/>
  </w:style>
  <w:style w:type="table" w:customStyle="1" w:styleId="MediumGrid1-Accent143">
    <w:name w:val="Medium Grid 1 - Accent 14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
    <w:name w:val="Light Grid - Accent 114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
    <w:name w:val="Light Grid - Accent 54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
    <w:name w:val="Light Grid - Accent 12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
    <w:name w:val="Light List - Accent 54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
    <w:name w:val="Light List - Accent 114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
    <w:name w:val="Light Grid - Accent 134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
    <w:name w:val="Medium Grid 1 - Accent 34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
    <w:name w:val="Table Grid213"/>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
    <w:name w:val="Medium Grid 3 - Accent 113"/>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
    <w:name w:val="No List113"/>
    <w:next w:val="NoList"/>
    <w:uiPriority w:val="99"/>
    <w:unhideWhenUsed/>
    <w:rsid w:val="00C9597C"/>
  </w:style>
  <w:style w:type="table" w:customStyle="1" w:styleId="MediumGrid1-Accent1113">
    <w:name w:val="Medium Grid 1 - Accent 11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
    <w:name w:val="Light Grid - Accent 11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
    <w:name w:val="Light Grid - Accent 5113"/>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
    <w:name w:val="Light Grid - Accent 12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
    <w:name w:val="Light List - Accent 5113"/>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
    <w:name w:val="Light List - Accent 111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
    <w:name w:val="Light Grid - Accent 131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
    <w:name w:val="Medium Grid 1 - Accent 31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
    <w:name w:val="Grid Table 4 -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
    <w:name w:val="No List213"/>
    <w:next w:val="NoList"/>
    <w:uiPriority w:val="99"/>
    <w:unhideWhenUsed/>
    <w:rsid w:val="00C9597C"/>
  </w:style>
  <w:style w:type="table" w:customStyle="1" w:styleId="MediumGrid1-Accent1213">
    <w:name w:val="Medium Grid 1 - Accent 12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
    <w:name w:val="Light Grid - Accent 112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
    <w:name w:val="Light Grid - Accent 52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
    <w:name w:val="Light Grid - Accent 12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
    <w:name w:val="Light List - Accent 52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
    <w:name w:val="Light List - Accent 112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
    <w:name w:val="Light Grid - Accent 132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
    <w:name w:val="Medium Grid 1 - Accent 32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
    <w:name w:val="Grid Table 4 Accent 31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
    <w:name w:val="No List313"/>
    <w:next w:val="NoList"/>
    <w:uiPriority w:val="99"/>
    <w:unhideWhenUsed/>
    <w:rsid w:val="00C9597C"/>
  </w:style>
  <w:style w:type="table" w:customStyle="1" w:styleId="MediumGrid1-Accent1313">
    <w:name w:val="Medium Grid 1 - Accent 131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
    <w:name w:val="Light Grid - Accent 1131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
    <w:name w:val="Light Grid - Accent 531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
    <w:name w:val="Light Grid - Accent 12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
    <w:name w:val="Light List - Accent 531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
    <w:name w:val="Light List - Accent 1131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
    <w:name w:val="Light Grid - Accent 1331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
    <w:name w:val="Medium Grid 1 - Accent 331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
    <w:name w:val="Grid Table 4 Accent 3213"/>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
    <w:name w:val="Table Grid113"/>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unhideWhenUsed/>
    <w:rsid w:val="00C9597C"/>
  </w:style>
  <w:style w:type="table" w:customStyle="1" w:styleId="MediumGrid1-Accent153">
    <w:name w:val="Medium Grid 1 - Accent 15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
    <w:name w:val="Light Grid - Accent 115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
    <w:name w:val="Light Grid - Accent 55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
    <w:name w:val="Light Grid - Accent 12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
    <w:name w:val="Light List - Accent 55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
    <w:name w:val="Light List - Accent 115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
    <w:name w:val="Light Grid - Accent 135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
    <w:name w:val="Medium Grid 1 - Accent 35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
    <w:name w:val="No List123"/>
    <w:next w:val="NoList"/>
    <w:uiPriority w:val="99"/>
    <w:unhideWhenUsed/>
    <w:rsid w:val="00C9597C"/>
  </w:style>
  <w:style w:type="numbering" w:customStyle="1" w:styleId="NoList223">
    <w:name w:val="No List223"/>
    <w:next w:val="NoList"/>
    <w:uiPriority w:val="99"/>
    <w:unhideWhenUsed/>
    <w:rsid w:val="00C9597C"/>
  </w:style>
  <w:style w:type="numbering" w:customStyle="1" w:styleId="NoList323">
    <w:name w:val="No List323"/>
    <w:next w:val="NoList"/>
    <w:uiPriority w:val="99"/>
    <w:unhideWhenUsed/>
    <w:rsid w:val="00C9597C"/>
  </w:style>
  <w:style w:type="numbering" w:customStyle="1" w:styleId="NoList63">
    <w:name w:val="No List63"/>
    <w:next w:val="NoList"/>
    <w:uiPriority w:val="99"/>
    <w:unhideWhenUsed/>
    <w:rsid w:val="00C9597C"/>
  </w:style>
  <w:style w:type="table" w:customStyle="1" w:styleId="MediumGrid1-Accent163">
    <w:name w:val="Medium Grid 1 - Accent 163"/>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
    <w:name w:val="Light Grid - Accent 1163"/>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
    <w:name w:val="Light Grid - Accent 563"/>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
    <w:name w:val="Light Grid - Accent 12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
    <w:name w:val="Light List - Accent 563"/>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
    <w:name w:val="Light List - Accent 1163"/>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
    <w:name w:val="Light Grid - Accent 1363"/>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
    <w:name w:val="Medium Grid 1 - Accent 363"/>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
    <w:name w:val="No List133"/>
    <w:next w:val="NoList"/>
    <w:uiPriority w:val="99"/>
    <w:unhideWhenUsed/>
    <w:rsid w:val="00C9597C"/>
  </w:style>
  <w:style w:type="numbering" w:customStyle="1" w:styleId="NoList233">
    <w:name w:val="No List233"/>
    <w:next w:val="NoList"/>
    <w:uiPriority w:val="99"/>
    <w:unhideWhenUsed/>
    <w:rsid w:val="00C9597C"/>
  </w:style>
  <w:style w:type="numbering" w:customStyle="1" w:styleId="NoList333">
    <w:name w:val="No List333"/>
    <w:next w:val="NoList"/>
    <w:uiPriority w:val="99"/>
    <w:unhideWhenUsed/>
    <w:rsid w:val="00C9597C"/>
  </w:style>
  <w:style w:type="numbering" w:customStyle="1" w:styleId="NoList10">
    <w:name w:val="No List10"/>
    <w:next w:val="NoList"/>
    <w:uiPriority w:val="99"/>
    <w:unhideWhenUsed/>
    <w:rsid w:val="00C9597C"/>
  </w:style>
  <w:style w:type="table" w:customStyle="1" w:styleId="TableGrid8">
    <w:name w:val="Table Grid8"/>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
    <w:name w:val="Medium Grid 3 - Accent 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
    <w:name w:val="Medium Grid 1 - Accent 110"/>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
    <w:name w:val="Light Grid - Accent 1110"/>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
    <w:name w:val="Light Grid - Accent 510"/>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
    <w:name w:val="Light Grid - Accent 1210"/>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
    <w:name w:val="Light List - Accent 510"/>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
    <w:name w:val="Light List - Accent 1110"/>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
    <w:name w:val="Light Grid - Accent 13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
    <w:name w:val="Medium Grid 1 - Accent 3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
    <w:name w:val="No List17"/>
    <w:next w:val="NoList"/>
    <w:uiPriority w:val="99"/>
    <w:unhideWhenUsed/>
    <w:rsid w:val="00C9597C"/>
  </w:style>
  <w:style w:type="table" w:customStyle="1" w:styleId="MediumGrid1-Accent116">
    <w:name w:val="Medium Grid 1 - Accent 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
    <w:name w:val="Light Grid - Accent 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
    <w:name w:val="Light Grid - Accent 5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
    <w:name w:val="Light Grid - Accent 1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
    <w:name w:val="Light List - Accent 5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
    <w:name w:val="Light List - Accent 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
    <w:name w:val="Light Grid - Accent 1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
    <w:name w:val="Medium Grid 1 - Accent 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
    <w:name w:val="Grid Table 4 -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
    <w:name w:val="No List27"/>
    <w:next w:val="NoList"/>
    <w:uiPriority w:val="99"/>
    <w:unhideWhenUsed/>
    <w:rsid w:val="00C9597C"/>
  </w:style>
  <w:style w:type="table" w:customStyle="1" w:styleId="MediumGrid1-Accent126">
    <w:name w:val="Medium Grid 1 - Accent 12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
    <w:name w:val="Light Grid - Accent 112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
    <w:name w:val="Light Grid - Accent 52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
    <w:name w:val="Light Grid - Accent 12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
    <w:name w:val="Light List - Accent 52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
    <w:name w:val="Light List - Accent 112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
    <w:name w:val="Light Grid - Accent 132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
    <w:name w:val="Medium Grid 1 - Accent 32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
    <w:name w:val="Grid Table 4 Accent 3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
    <w:name w:val="No List37"/>
    <w:next w:val="NoList"/>
    <w:uiPriority w:val="99"/>
    <w:unhideWhenUsed/>
    <w:rsid w:val="00C9597C"/>
  </w:style>
  <w:style w:type="table" w:customStyle="1" w:styleId="MediumGrid1-Accent136">
    <w:name w:val="Medium Grid 1 - Accent 13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
    <w:name w:val="Light Grid - Accent 113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
    <w:name w:val="Light Grid - Accent 53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
    <w:name w:val="Light Grid - Accent 12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
    <w:name w:val="Light List - Accent 53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
    <w:name w:val="Light List - Accent 113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
    <w:name w:val="Light Grid - Accent 133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
    <w:name w:val="Medium Grid 1 - Accent 33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
    <w:name w:val="Grid Table 4 Accent 32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
    <w:name w:val="Table Grid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
    <w:name w:val="No List44"/>
    <w:next w:val="NoList"/>
    <w:uiPriority w:val="99"/>
    <w:unhideWhenUsed/>
    <w:rsid w:val="00C9597C"/>
  </w:style>
  <w:style w:type="table" w:customStyle="1" w:styleId="MediumGrid1-Accent144">
    <w:name w:val="Medium Grid 1 - Accent 14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
    <w:name w:val="Light Grid - Accent 114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
    <w:name w:val="Light Grid - Accent 54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
    <w:name w:val="Light Grid - Accent 12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
    <w:name w:val="Light List - Accent 54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
    <w:name w:val="Light List - Accent 114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
    <w:name w:val="Light Grid - Accent 134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
    <w:name w:val="Medium Grid 1 - Accent 34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
    <w:name w:val="Table Grid214"/>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
    <w:name w:val="Medium Grid 3 - Accent 114"/>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
    <w:name w:val="No List114"/>
    <w:next w:val="NoList"/>
    <w:uiPriority w:val="99"/>
    <w:unhideWhenUsed/>
    <w:rsid w:val="00C9597C"/>
  </w:style>
  <w:style w:type="table" w:customStyle="1" w:styleId="MediumGrid1-Accent1114">
    <w:name w:val="Medium Grid 1 - Accent 11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
    <w:name w:val="Light Grid - Accent 11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
    <w:name w:val="Light Grid - Accent 5114"/>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
    <w:name w:val="Light Grid - Accent 12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
    <w:name w:val="Light List - Accent 5114"/>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
    <w:name w:val="Light List - Accent 111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
    <w:name w:val="Light Grid - Accent 131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
    <w:name w:val="Medium Grid 1 - Accent 31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
    <w:name w:val="Grid Table 4 -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
    <w:name w:val="No List214"/>
    <w:next w:val="NoList"/>
    <w:uiPriority w:val="99"/>
    <w:unhideWhenUsed/>
    <w:rsid w:val="00C9597C"/>
  </w:style>
  <w:style w:type="table" w:customStyle="1" w:styleId="MediumGrid1-Accent1214">
    <w:name w:val="Medium Grid 1 - Accent 12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
    <w:name w:val="Light Grid - Accent 112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
    <w:name w:val="Light Grid - Accent 52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
    <w:name w:val="Light Grid - Accent 12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
    <w:name w:val="Light List - Accent 52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
    <w:name w:val="Light List - Accent 112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
    <w:name w:val="Light Grid - Accent 132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
    <w:name w:val="Medium Grid 1 - Accent 32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
    <w:name w:val="Grid Table 4 Accent 31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
    <w:name w:val="No List314"/>
    <w:next w:val="NoList"/>
    <w:uiPriority w:val="99"/>
    <w:unhideWhenUsed/>
    <w:rsid w:val="00C9597C"/>
  </w:style>
  <w:style w:type="table" w:customStyle="1" w:styleId="MediumGrid1-Accent1314">
    <w:name w:val="Medium Grid 1 - Accent 131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
    <w:name w:val="Light Grid - Accent 1131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
    <w:name w:val="Light Grid - Accent 531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
    <w:name w:val="Light Grid - Accent 12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
    <w:name w:val="Light List - Accent 531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
    <w:name w:val="Light List - Accent 1131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
    <w:name w:val="Light Grid - Accent 1331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
    <w:name w:val="Medium Grid 1 - Accent 331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
    <w:name w:val="Grid Table 4 Accent 3214"/>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
    <w:name w:val="Table Grid114"/>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
    <w:name w:val="No List54"/>
    <w:next w:val="NoList"/>
    <w:uiPriority w:val="99"/>
    <w:unhideWhenUsed/>
    <w:rsid w:val="00C9597C"/>
  </w:style>
  <w:style w:type="table" w:customStyle="1" w:styleId="MediumGrid1-Accent154">
    <w:name w:val="Medium Grid 1 - Accent 15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
    <w:name w:val="Light Grid - Accent 115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
    <w:name w:val="Light Grid - Accent 55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
    <w:name w:val="Light Grid - Accent 12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
    <w:name w:val="Light List - Accent 55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
    <w:name w:val="Light List - Accent 115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
    <w:name w:val="Light Grid - Accent 135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
    <w:name w:val="Medium Grid 1 - Accent 35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
    <w:name w:val="No List124"/>
    <w:next w:val="NoList"/>
    <w:uiPriority w:val="99"/>
    <w:unhideWhenUsed/>
    <w:rsid w:val="00C9597C"/>
  </w:style>
  <w:style w:type="numbering" w:customStyle="1" w:styleId="NoList224">
    <w:name w:val="No List224"/>
    <w:next w:val="NoList"/>
    <w:uiPriority w:val="99"/>
    <w:unhideWhenUsed/>
    <w:rsid w:val="00C9597C"/>
  </w:style>
  <w:style w:type="numbering" w:customStyle="1" w:styleId="NoList324">
    <w:name w:val="No List324"/>
    <w:next w:val="NoList"/>
    <w:uiPriority w:val="99"/>
    <w:unhideWhenUsed/>
    <w:rsid w:val="00C9597C"/>
  </w:style>
  <w:style w:type="numbering" w:customStyle="1" w:styleId="NoList64">
    <w:name w:val="No List64"/>
    <w:next w:val="NoList"/>
    <w:uiPriority w:val="99"/>
    <w:unhideWhenUsed/>
    <w:rsid w:val="00C9597C"/>
  </w:style>
  <w:style w:type="table" w:customStyle="1" w:styleId="MediumGrid1-Accent164">
    <w:name w:val="Medium Grid 1 - Accent 164"/>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
    <w:name w:val="Light Grid - Accent 1164"/>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
    <w:name w:val="Light Grid - Accent 564"/>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
    <w:name w:val="Light Grid - Accent 12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
    <w:name w:val="Light List - Accent 564"/>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
    <w:name w:val="Light List - Accent 1164"/>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
    <w:name w:val="Light Grid - Accent 1364"/>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
    <w:name w:val="Medium Grid 1 - Accent 364"/>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
    <w:name w:val="No List134"/>
    <w:next w:val="NoList"/>
    <w:uiPriority w:val="99"/>
    <w:unhideWhenUsed/>
    <w:rsid w:val="00C9597C"/>
  </w:style>
  <w:style w:type="numbering" w:customStyle="1" w:styleId="NoList234">
    <w:name w:val="No List234"/>
    <w:next w:val="NoList"/>
    <w:uiPriority w:val="99"/>
    <w:unhideWhenUsed/>
    <w:rsid w:val="00C9597C"/>
  </w:style>
  <w:style w:type="numbering" w:customStyle="1" w:styleId="NoList334">
    <w:name w:val="No List334"/>
    <w:next w:val="NoList"/>
    <w:uiPriority w:val="99"/>
    <w:unhideWhenUsed/>
    <w:rsid w:val="00C9597C"/>
  </w:style>
  <w:style w:type="numbering" w:customStyle="1" w:styleId="NoList18">
    <w:name w:val="No List18"/>
    <w:next w:val="NoList"/>
    <w:uiPriority w:val="99"/>
    <w:unhideWhenUsed/>
    <w:rsid w:val="00C9597C"/>
  </w:style>
  <w:style w:type="table" w:customStyle="1" w:styleId="TableGrid9">
    <w:name w:val="Table Grid9"/>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
    <w:name w:val="Medium Grid 3 - Accent 17"/>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
    <w:name w:val="Medium Grid 1 - Accent 117"/>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
    <w:name w:val="Light Grid - Accent 1117"/>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
    <w:name w:val="Light Grid - Accent 517"/>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
    <w:name w:val="Light Grid - Accent 1217"/>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
    <w:name w:val="Light List - Accent 517"/>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
    <w:name w:val="Light List - Accent 1117"/>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
    <w:name w:val="Light Grid - Accent 131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
    <w:name w:val="Medium Grid 1 - Accent 31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
    <w:name w:val="No List19"/>
    <w:next w:val="NoList"/>
    <w:uiPriority w:val="99"/>
    <w:unhideWhenUsed/>
    <w:rsid w:val="00C9597C"/>
  </w:style>
  <w:style w:type="table" w:customStyle="1" w:styleId="MediumGrid1-Accent118">
    <w:name w:val="Medium Grid 1 - Accent 11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
    <w:name w:val="Light Grid - Accent 11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
    <w:name w:val="Light Grid - Accent 518"/>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
    <w:name w:val="Light Grid - Accent 12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
    <w:name w:val="Light List - Accent 518"/>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
    <w:name w:val="Light List - Accent 111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
    <w:name w:val="Light Grid - Accent 131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
    <w:name w:val="Medium Grid 1 - Accent 31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
    <w:name w:val="Grid Table 4 -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
    <w:name w:val="No List28"/>
    <w:next w:val="NoList"/>
    <w:uiPriority w:val="99"/>
    <w:unhideWhenUsed/>
    <w:rsid w:val="00C9597C"/>
  </w:style>
  <w:style w:type="table" w:customStyle="1" w:styleId="MediumGrid1-Accent127">
    <w:name w:val="Medium Grid 1 - Accent 12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
    <w:name w:val="Light Grid - Accent 112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
    <w:name w:val="Light Grid - Accent 52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
    <w:name w:val="Light Grid - Accent 12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
    <w:name w:val="Light List - Accent 52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
    <w:name w:val="Light List - Accent 112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
    <w:name w:val="Light Grid - Accent 132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
    <w:name w:val="Medium Grid 1 - Accent 32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
    <w:name w:val="Grid Table 4 Accent 31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
    <w:name w:val="No List38"/>
    <w:next w:val="NoList"/>
    <w:uiPriority w:val="99"/>
    <w:unhideWhenUsed/>
    <w:rsid w:val="00C9597C"/>
  </w:style>
  <w:style w:type="table" w:customStyle="1" w:styleId="MediumGrid1-Accent137">
    <w:name w:val="Medium Grid 1 - Accent 137"/>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
    <w:name w:val="Light Grid - Accent 1137"/>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
    <w:name w:val="Light Grid - Accent 537"/>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
    <w:name w:val="Light Grid - Accent 12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
    <w:name w:val="Light List - Accent 537"/>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
    <w:name w:val="Light List - Accent 1137"/>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
    <w:name w:val="Light Grid - Accent 1337"/>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
    <w:name w:val="Medium Grid 1 - Accent 337"/>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
    <w:name w:val="Grid Table 4 Accent 327"/>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
    <w:name w:val="Table Grid17"/>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unhideWhenUsed/>
    <w:rsid w:val="00C9597C"/>
  </w:style>
  <w:style w:type="table" w:customStyle="1" w:styleId="MediumGrid1-Accent145">
    <w:name w:val="Medium Grid 1 - Accent 14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
    <w:name w:val="Light Grid - Accent 114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
    <w:name w:val="Light Grid - Accent 54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
    <w:name w:val="Light Grid - Accent 12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
    <w:name w:val="Light List - Accent 54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
    <w:name w:val="Light List - Accent 114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
    <w:name w:val="Light Grid - Accent 134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
    <w:name w:val="Medium Grid 1 - Accent 34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
    <w:name w:val="Table Grid215"/>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
    <w:name w:val="Medium Grid 3 - Accent 115"/>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
    <w:name w:val="No List115"/>
    <w:next w:val="NoList"/>
    <w:uiPriority w:val="99"/>
    <w:unhideWhenUsed/>
    <w:rsid w:val="00C9597C"/>
  </w:style>
  <w:style w:type="table" w:customStyle="1" w:styleId="MediumGrid1-Accent1115">
    <w:name w:val="Medium Grid 1 - Accent 11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
    <w:name w:val="Light Grid - Accent 11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
    <w:name w:val="Light Grid - Accent 5115"/>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
    <w:name w:val="Light Grid - Accent 12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
    <w:name w:val="Light List - Accent 5115"/>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
    <w:name w:val="Light List - Accent 111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
    <w:name w:val="Light Grid - Accent 131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
    <w:name w:val="Medium Grid 1 - Accent 31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
    <w:name w:val="Grid Table 4 -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
    <w:name w:val="No List215"/>
    <w:next w:val="NoList"/>
    <w:uiPriority w:val="99"/>
    <w:unhideWhenUsed/>
    <w:rsid w:val="00C9597C"/>
  </w:style>
  <w:style w:type="table" w:customStyle="1" w:styleId="MediumGrid1-Accent1215">
    <w:name w:val="Medium Grid 1 - Accent 12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
    <w:name w:val="Light Grid - Accent 112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
    <w:name w:val="Light Grid - Accent 52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
    <w:name w:val="Light Grid - Accent 12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
    <w:name w:val="Light List - Accent 52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
    <w:name w:val="Light List - Accent 112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
    <w:name w:val="Light Grid - Accent 132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
    <w:name w:val="Medium Grid 1 - Accent 32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
    <w:name w:val="Grid Table 4 Accent 31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
    <w:name w:val="No List315"/>
    <w:next w:val="NoList"/>
    <w:uiPriority w:val="99"/>
    <w:unhideWhenUsed/>
    <w:rsid w:val="00C9597C"/>
  </w:style>
  <w:style w:type="table" w:customStyle="1" w:styleId="MediumGrid1-Accent1315">
    <w:name w:val="Medium Grid 1 - Accent 131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
    <w:name w:val="Light Grid - Accent 1131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
    <w:name w:val="Light Grid - Accent 531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
    <w:name w:val="Light Grid - Accent 12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
    <w:name w:val="Light List - Accent 531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
    <w:name w:val="Light List - Accent 1131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
    <w:name w:val="Light Grid - Accent 1331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
    <w:name w:val="Medium Grid 1 - Accent 331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
    <w:name w:val="Grid Table 4 Accent 3215"/>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
    <w:name w:val="Table Grid115"/>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
    <w:name w:val="No List55"/>
    <w:next w:val="NoList"/>
    <w:uiPriority w:val="99"/>
    <w:unhideWhenUsed/>
    <w:rsid w:val="00C9597C"/>
  </w:style>
  <w:style w:type="table" w:customStyle="1" w:styleId="MediumGrid1-Accent155">
    <w:name w:val="Medium Grid 1 - Accent 15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
    <w:name w:val="Light Grid - Accent 115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
    <w:name w:val="Light Grid - Accent 55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
    <w:name w:val="Light Grid - Accent 12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
    <w:name w:val="Light List - Accent 55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
    <w:name w:val="Light List - Accent 115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
    <w:name w:val="Light Grid - Accent 135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
    <w:name w:val="Medium Grid 1 - Accent 35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
    <w:name w:val="No List125"/>
    <w:next w:val="NoList"/>
    <w:uiPriority w:val="99"/>
    <w:unhideWhenUsed/>
    <w:rsid w:val="00C9597C"/>
  </w:style>
  <w:style w:type="numbering" w:customStyle="1" w:styleId="NoList225">
    <w:name w:val="No List225"/>
    <w:next w:val="NoList"/>
    <w:uiPriority w:val="99"/>
    <w:unhideWhenUsed/>
    <w:rsid w:val="00C9597C"/>
  </w:style>
  <w:style w:type="numbering" w:customStyle="1" w:styleId="NoList325">
    <w:name w:val="No List325"/>
    <w:next w:val="NoList"/>
    <w:uiPriority w:val="99"/>
    <w:unhideWhenUsed/>
    <w:rsid w:val="00C9597C"/>
  </w:style>
  <w:style w:type="numbering" w:customStyle="1" w:styleId="NoList65">
    <w:name w:val="No List65"/>
    <w:next w:val="NoList"/>
    <w:uiPriority w:val="99"/>
    <w:unhideWhenUsed/>
    <w:rsid w:val="00C9597C"/>
  </w:style>
  <w:style w:type="table" w:customStyle="1" w:styleId="MediumGrid1-Accent165">
    <w:name w:val="Medium Grid 1 - Accent 165"/>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
    <w:name w:val="Light Grid - Accent 1165"/>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
    <w:name w:val="Light Grid - Accent 565"/>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
    <w:name w:val="Light Grid - Accent 12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
    <w:name w:val="Light List - Accent 565"/>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
    <w:name w:val="Light List - Accent 1165"/>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
    <w:name w:val="Light Grid - Accent 1365"/>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
    <w:name w:val="Medium Grid 1 - Accent 365"/>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
    <w:name w:val="No List135"/>
    <w:next w:val="NoList"/>
    <w:uiPriority w:val="99"/>
    <w:unhideWhenUsed/>
    <w:rsid w:val="00C9597C"/>
  </w:style>
  <w:style w:type="numbering" w:customStyle="1" w:styleId="NoList235">
    <w:name w:val="No List235"/>
    <w:next w:val="NoList"/>
    <w:uiPriority w:val="99"/>
    <w:unhideWhenUsed/>
    <w:rsid w:val="00C9597C"/>
  </w:style>
  <w:style w:type="numbering" w:customStyle="1" w:styleId="NoList335">
    <w:name w:val="No List335"/>
    <w:next w:val="NoList"/>
    <w:uiPriority w:val="99"/>
    <w:unhideWhenUsed/>
    <w:rsid w:val="00C9597C"/>
  </w:style>
  <w:style w:type="numbering" w:customStyle="1" w:styleId="NoList20">
    <w:name w:val="No List20"/>
    <w:next w:val="NoList"/>
    <w:uiPriority w:val="99"/>
    <w:unhideWhenUsed/>
    <w:rsid w:val="00C9597C"/>
  </w:style>
  <w:style w:type="table" w:customStyle="1" w:styleId="TableGrid10">
    <w:name w:val="Table Grid10"/>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
    <w:name w:val="Medium Grid 3 - Accent 18"/>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
    <w:name w:val="Medium Grid 1 - Accent 119"/>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
    <w:name w:val="Light Grid - Accent 1119"/>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
    <w:name w:val="Light Grid - Accent 519"/>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
    <w:name w:val="Light Grid - Accent 1219"/>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
    <w:name w:val="Light List - Accent 519"/>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
    <w:name w:val="Light List - Accent 1119"/>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
    <w:name w:val="Light Grid - Accent 1319"/>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
    <w:name w:val="Medium Grid 1 - Accent 319"/>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
    <w:name w:val="No List110"/>
    <w:next w:val="NoList"/>
    <w:uiPriority w:val="99"/>
    <w:unhideWhenUsed/>
    <w:rsid w:val="00C9597C"/>
  </w:style>
  <w:style w:type="table" w:customStyle="1" w:styleId="MediumGrid1-Accent1110">
    <w:name w:val="Medium Grid 1 - Accent 1110"/>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
    <w:name w:val="Light Grid - Accent 11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
    <w:name w:val="Light Grid - Accent 5110"/>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
    <w:name w:val="Light Grid - Accent 12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
    <w:name w:val="Light List - Accent 5110"/>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
    <w:name w:val="Light List - Accent 11110"/>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
    <w:name w:val="Light Grid - Accent 13110"/>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
    <w:name w:val="Medium Grid 1 - Accent 3110"/>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
    <w:name w:val="Grid Table 4 -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
    <w:name w:val="No List29"/>
    <w:next w:val="NoList"/>
    <w:uiPriority w:val="99"/>
    <w:unhideWhenUsed/>
    <w:rsid w:val="00C9597C"/>
  </w:style>
  <w:style w:type="table" w:customStyle="1" w:styleId="MediumGrid1-Accent128">
    <w:name w:val="Medium Grid 1 - Accent 12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
    <w:name w:val="Light Grid - Accent 112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
    <w:name w:val="Light Grid - Accent 52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
    <w:name w:val="Light Grid - Accent 12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
    <w:name w:val="Light List - Accent 52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
    <w:name w:val="Light List - Accent 112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
    <w:name w:val="Light Grid - Accent 132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
    <w:name w:val="Medium Grid 1 - Accent 32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
    <w:name w:val="Grid Table 4 Accent 31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
    <w:name w:val="No List39"/>
    <w:next w:val="NoList"/>
    <w:uiPriority w:val="99"/>
    <w:unhideWhenUsed/>
    <w:rsid w:val="00C9597C"/>
  </w:style>
  <w:style w:type="table" w:customStyle="1" w:styleId="MediumGrid1-Accent138">
    <w:name w:val="Medium Grid 1 - Accent 138"/>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
    <w:name w:val="Light Grid - Accent 1138"/>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
    <w:name w:val="Light Grid - Accent 538"/>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
    <w:name w:val="Light Grid - Accent 12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
    <w:name w:val="Light List - Accent 538"/>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
    <w:name w:val="Light List - Accent 1138"/>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
    <w:name w:val="Light Grid - Accent 1338"/>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
    <w:name w:val="Medium Grid 1 - Accent 338"/>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
    <w:name w:val="Grid Table 4 Accent 328"/>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
    <w:name w:val="Table Grid18"/>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
    <w:name w:val="No List46"/>
    <w:next w:val="NoList"/>
    <w:uiPriority w:val="99"/>
    <w:unhideWhenUsed/>
    <w:rsid w:val="00C9597C"/>
  </w:style>
  <w:style w:type="table" w:customStyle="1" w:styleId="MediumGrid1-Accent146">
    <w:name w:val="Medium Grid 1 - Accent 14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
    <w:name w:val="Light Grid - Accent 114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
    <w:name w:val="Light Grid - Accent 54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
    <w:name w:val="Light Grid - Accent 12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
    <w:name w:val="Light List - Accent 54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
    <w:name w:val="Light List - Accent 114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
    <w:name w:val="Light Grid - Accent 134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
    <w:name w:val="Medium Grid 1 - Accent 34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
    <w:name w:val="Table Grid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
    <w:name w:val="Medium Grid 3 - Accent 116"/>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
    <w:name w:val="No List116"/>
    <w:next w:val="NoList"/>
    <w:uiPriority w:val="99"/>
    <w:unhideWhenUsed/>
    <w:rsid w:val="00C9597C"/>
  </w:style>
  <w:style w:type="table" w:customStyle="1" w:styleId="MediumGrid1-Accent1116">
    <w:name w:val="Medium Grid 1 - Accent 11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
    <w:name w:val="Light Grid - Accent 11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
    <w:name w:val="Light Grid - Accent 5116"/>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
    <w:name w:val="Light Grid - Accent 12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
    <w:name w:val="Light List - Accent 5116"/>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
    <w:name w:val="Light List - Accent 111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
    <w:name w:val="Light Grid - Accent 131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
    <w:name w:val="Medium Grid 1 - Accent 31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
    <w:name w:val="Grid Table 4 -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
    <w:name w:val="No List216"/>
    <w:next w:val="NoList"/>
    <w:uiPriority w:val="99"/>
    <w:unhideWhenUsed/>
    <w:rsid w:val="00C9597C"/>
  </w:style>
  <w:style w:type="table" w:customStyle="1" w:styleId="MediumGrid1-Accent1216">
    <w:name w:val="Medium Grid 1 - Accent 12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
    <w:name w:val="Light Grid - Accent 112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
    <w:name w:val="Light Grid - Accent 52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
    <w:name w:val="Light Grid - Accent 12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
    <w:name w:val="Light List - Accent 52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
    <w:name w:val="Light List - Accent 112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
    <w:name w:val="Light Grid - Accent 132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
    <w:name w:val="Medium Grid 1 - Accent 32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
    <w:name w:val="Grid Table 4 Accent 31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
    <w:name w:val="No List316"/>
    <w:next w:val="NoList"/>
    <w:uiPriority w:val="99"/>
    <w:unhideWhenUsed/>
    <w:rsid w:val="00C9597C"/>
  </w:style>
  <w:style w:type="table" w:customStyle="1" w:styleId="MediumGrid1-Accent1316">
    <w:name w:val="Medium Grid 1 - Accent 131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
    <w:name w:val="Light Grid - Accent 1131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
    <w:name w:val="Light Grid - Accent 531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
    <w:name w:val="Light Grid - Accent 12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
    <w:name w:val="Light List - Accent 531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
    <w:name w:val="Light List - Accent 1131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
    <w:name w:val="Light Grid - Accent 1331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
    <w:name w:val="Medium Grid 1 - Accent 331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
    <w:name w:val="Grid Table 4 Accent 3216"/>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
    <w:name w:val="Table Grid116"/>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
    <w:name w:val="No List56"/>
    <w:next w:val="NoList"/>
    <w:uiPriority w:val="99"/>
    <w:unhideWhenUsed/>
    <w:rsid w:val="00C9597C"/>
  </w:style>
  <w:style w:type="table" w:customStyle="1" w:styleId="TableGrid41">
    <w:name w:val="Table Grid41"/>
    <w:basedOn w:val="TableNormal"/>
    <w:next w:val="TableGrid"/>
    <w:uiPriority w:val="5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
    <w:name w:val="Medium Grid 3 - Accent 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
    <w:name w:val="Medium Grid 1 - Accent 156"/>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
    <w:name w:val="Light Grid - Accent 1156"/>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
    <w:name w:val="Light Grid - Accent 556"/>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
    <w:name w:val="Light Grid - Accent 1256"/>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
    <w:name w:val="Light List - Accent 556"/>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
    <w:name w:val="Light List - Accent 1156"/>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
    <w:name w:val="Light Grid - Accent 135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
    <w:name w:val="Medium Grid 1 - Accent 35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
    <w:name w:val="No List126"/>
    <w:next w:val="NoList"/>
    <w:uiPriority w:val="99"/>
    <w:unhideWhenUsed/>
    <w:rsid w:val="00C9597C"/>
  </w:style>
  <w:style w:type="table" w:customStyle="1" w:styleId="MediumGrid1-Accent1121">
    <w:name w:val="Medium Grid 1 - Accent 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
    <w:name w:val="Light Grid - Accent 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
    <w:name w:val="Light Grid - Accent 5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
    <w:name w:val="Light Grid - Accent 1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
    <w:name w:val="Light List - Accent 5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
    <w:name w:val="Light List - Accent 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
    <w:name w:val="Light Grid - Accent 1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
    <w:name w:val="Medium Grid 1 - Accent 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
    <w:name w:val="Grid Table 4 -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
    <w:name w:val="No List226"/>
    <w:next w:val="NoList"/>
    <w:uiPriority w:val="99"/>
    <w:unhideWhenUsed/>
    <w:rsid w:val="00C9597C"/>
  </w:style>
  <w:style w:type="table" w:customStyle="1" w:styleId="MediumGrid1-Accent1221">
    <w:name w:val="Medium Grid 1 - Accent 12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
    <w:name w:val="Light Grid - Accent 112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
    <w:name w:val="Light Grid - Accent 52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
    <w:name w:val="Light Grid - Accent 12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
    <w:name w:val="Light List - Accent 52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
    <w:name w:val="Light List - Accent 112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
    <w:name w:val="Light Grid - Accent 132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
    <w:name w:val="Medium Grid 1 - Accent 32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
    <w:name w:val="Grid Table 4 Accent 3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
    <w:name w:val="No List326"/>
    <w:next w:val="NoList"/>
    <w:uiPriority w:val="99"/>
    <w:unhideWhenUsed/>
    <w:rsid w:val="00C9597C"/>
  </w:style>
  <w:style w:type="table" w:customStyle="1" w:styleId="MediumGrid1-Accent1321">
    <w:name w:val="Medium Grid 1 - Accent 13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
    <w:name w:val="Light Grid - Accent 113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
    <w:name w:val="Light Grid - Accent 53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
    <w:name w:val="Light Grid - Accent 12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
    <w:name w:val="Light List - Accent 53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
    <w:name w:val="Light List - Accent 113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
    <w:name w:val="Light Grid - Accent 133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
    <w:name w:val="Medium Grid 1 - Accent 33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
    <w:name w:val="Grid Table 4 Accent 32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
    <w:name w:val="Table Grid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
    <w:name w:val="Table Grid216"/>
    <w:basedOn w:val="TableNormal"/>
    <w:next w:val="TableGrid"/>
    <w:uiPriority w:val="3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
    <w:name w:val="No List66"/>
    <w:next w:val="NoList"/>
    <w:uiPriority w:val="99"/>
    <w:unhideWhenUsed/>
    <w:rsid w:val="00C9597C"/>
  </w:style>
  <w:style w:type="table" w:customStyle="1" w:styleId="MediumGrid1-Accent166">
    <w:name w:val="Medium Grid 1 - Accent 166"/>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
    <w:name w:val="Light Grid - Accent 1166"/>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
    <w:name w:val="Light Grid - Accent 566"/>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
    <w:name w:val="Light Grid - Accent 12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
    <w:name w:val="Light List - Accent 566"/>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
    <w:name w:val="Light List - Accent 1166"/>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
    <w:name w:val="Light Grid - Accent 1366"/>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
    <w:name w:val="Medium Grid 1 - Accent 366"/>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
    <w:name w:val="No List136"/>
    <w:next w:val="NoList"/>
    <w:uiPriority w:val="99"/>
    <w:unhideWhenUsed/>
    <w:rsid w:val="00C9597C"/>
  </w:style>
  <w:style w:type="numbering" w:customStyle="1" w:styleId="NoList236">
    <w:name w:val="No List236"/>
    <w:next w:val="NoList"/>
    <w:uiPriority w:val="99"/>
    <w:unhideWhenUsed/>
    <w:rsid w:val="00C9597C"/>
  </w:style>
  <w:style w:type="numbering" w:customStyle="1" w:styleId="NoList336">
    <w:name w:val="No List336"/>
    <w:next w:val="NoList"/>
    <w:uiPriority w:val="99"/>
    <w:unhideWhenUsed/>
    <w:rsid w:val="00C9597C"/>
  </w:style>
  <w:style w:type="numbering" w:customStyle="1" w:styleId="NoList71">
    <w:name w:val="No List71"/>
    <w:next w:val="NoList"/>
    <w:uiPriority w:val="99"/>
    <w:unhideWhenUsed/>
    <w:rsid w:val="00C9597C"/>
  </w:style>
  <w:style w:type="table" w:customStyle="1" w:styleId="TableGrid51">
    <w:name w:val="Table Grid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
    <w:name w:val="Medium Grid 3 - Accent 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
    <w:name w:val="Medium Grid 1 - Accent 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
    <w:name w:val="Light Grid - Accent 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
    <w:name w:val="Light Grid - Accent 5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
    <w:name w:val="Light Grid - Accent 12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
    <w:name w:val="Light List - Accent 57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
    <w:name w:val="Light List - Accent 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
    <w:name w:val="Light Grid - Accent 1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
    <w:name w:val="Medium Grid 1 - Accent 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
    <w:name w:val="No List141"/>
    <w:next w:val="NoList"/>
    <w:uiPriority w:val="99"/>
    <w:unhideWhenUsed/>
    <w:rsid w:val="00C9597C"/>
  </w:style>
  <w:style w:type="table" w:customStyle="1" w:styleId="MediumGrid1-Accent1131">
    <w:name w:val="Medium Grid 1 - Accent 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
    <w:name w:val="Light Grid - Accent 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
    <w:name w:val="Light Grid - Accent 5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
    <w:name w:val="Light Grid - Accent 1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
    <w:name w:val="Light List - Accent 5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
    <w:name w:val="Light List - Accent 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
    <w:name w:val="Light Grid - Accent 1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
    <w:name w:val="Medium Grid 1 - Accent 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
    <w:name w:val="Grid Table 4 -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
    <w:name w:val="No List241"/>
    <w:next w:val="NoList"/>
    <w:uiPriority w:val="99"/>
    <w:unhideWhenUsed/>
    <w:rsid w:val="00C9597C"/>
  </w:style>
  <w:style w:type="table" w:customStyle="1" w:styleId="MediumGrid1-Accent1231">
    <w:name w:val="Medium Grid 1 - Accent 12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
    <w:name w:val="Light Grid - Accent 112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
    <w:name w:val="Light Grid - Accent 52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
    <w:name w:val="Light Grid - Accent 12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
    <w:name w:val="Light List - Accent 52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
    <w:name w:val="Light List - Accent 112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
    <w:name w:val="Light Grid - Accent 132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
    <w:name w:val="Medium Grid 1 - Accent 32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
    <w:name w:val="Grid Table 4 Accent 3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
    <w:name w:val="No List341"/>
    <w:next w:val="NoList"/>
    <w:uiPriority w:val="99"/>
    <w:unhideWhenUsed/>
    <w:rsid w:val="00C9597C"/>
  </w:style>
  <w:style w:type="table" w:customStyle="1" w:styleId="MediumGrid1-Accent1331">
    <w:name w:val="Medium Grid 1 - Accent 13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
    <w:name w:val="Light Grid - Accent 113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
    <w:name w:val="Light Grid - Accent 53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
    <w:name w:val="Light Grid - Accent 12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
    <w:name w:val="Light List - Accent 53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
    <w:name w:val="Light List - Accent 113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
    <w:name w:val="Light Grid - Accent 133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
    <w:name w:val="Medium Grid 1 - Accent 33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
    <w:name w:val="Grid Table 4 Accent 32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
    <w:name w:val="Table Grid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
    <w:name w:val="No List411"/>
    <w:next w:val="NoList"/>
    <w:uiPriority w:val="99"/>
    <w:unhideWhenUsed/>
    <w:rsid w:val="00C9597C"/>
  </w:style>
  <w:style w:type="table" w:customStyle="1" w:styleId="MediumGrid1-Accent1411">
    <w:name w:val="Medium Grid 1 - Accent 14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
    <w:name w:val="Light Grid - Accent 114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
    <w:name w:val="Light Grid - Accent 54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
    <w:name w:val="Light Grid - Accent 12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
    <w:name w:val="Light List - Accent 54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
    <w:name w:val="Light List - Accent 114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
    <w:name w:val="Light Grid - Accent 134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
    <w:name w:val="Medium Grid 1 - Accent 34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
    <w:name w:val="Table Grid211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
    <w:name w:val="Medium Grid 3 - Accent 111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
    <w:name w:val="No List1111"/>
    <w:next w:val="NoList"/>
    <w:uiPriority w:val="99"/>
    <w:unhideWhenUsed/>
    <w:rsid w:val="00C9597C"/>
  </w:style>
  <w:style w:type="table" w:customStyle="1" w:styleId="MediumGrid1-Accent11111">
    <w:name w:val="Medium Grid 1 - Accent 11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
    <w:name w:val="Light Grid - Accent 11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
    <w:name w:val="Light Grid - Accent 5111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
    <w:name w:val="Light Grid - Accent 12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
    <w:name w:val="Light List - Accent 5111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
    <w:name w:val="Light List - Accent 111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
    <w:name w:val="Light Grid - Accent 131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
    <w:name w:val="Medium Grid 1 - Accent 31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
    <w:name w:val="Grid Table 4 -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
    <w:name w:val="No List2111"/>
    <w:next w:val="NoList"/>
    <w:uiPriority w:val="99"/>
    <w:unhideWhenUsed/>
    <w:rsid w:val="00C9597C"/>
  </w:style>
  <w:style w:type="table" w:customStyle="1" w:styleId="MediumGrid1-Accent12111">
    <w:name w:val="Medium Grid 1 - Accent 12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
    <w:name w:val="Light Grid - Accent 112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
    <w:name w:val="Light Grid - Accent 52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
    <w:name w:val="Light Grid - Accent 12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
    <w:name w:val="Light List - Accent 52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
    <w:name w:val="Light List - Accent 112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
    <w:name w:val="Light Grid - Accent 132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
    <w:name w:val="Medium Grid 1 - Accent 32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
    <w:name w:val="Grid Table 4 Accent 31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
    <w:name w:val="No List3111"/>
    <w:next w:val="NoList"/>
    <w:uiPriority w:val="99"/>
    <w:unhideWhenUsed/>
    <w:rsid w:val="00C9597C"/>
  </w:style>
  <w:style w:type="table" w:customStyle="1" w:styleId="MediumGrid1-Accent13111">
    <w:name w:val="Medium Grid 1 - Accent 131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
    <w:name w:val="Light Grid - Accent 1131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
    <w:name w:val="Light Grid - Accent 531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
    <w:name w:val="Light Grid - Accent 12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
    <w:name w:val="Light List - Accent 531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
    <w:name w:val="Light List - Accent 1131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
    <w:name w:val="Light Grid - Accent 1331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
    <w:name w:val="Medium Grid 1 - Accent 331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
    <w:name w:val="Grid Table 4 Accent 3211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
    <w:name w:val="Table Grid111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
    <w:name w:val="No List511"/>
    <w:next w:val="NoList"/>
    <w:uiPriority w:val="99"/>
    <w:unhideWhenUsed/>
    <w:rsid w:val="00C9597C"/>
  </w:style>
  <w:style w:type="table" w:customStyle="1" w:styleId="MediumGrid1-Accent1511">
    <w:name w:val="Medium Grid 1 - Accent 15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
    <w:name w:val="Light Grid - Accent 115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
    <w:name w:val="Light Grid - Accent 55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
    <w:name w:val="Light Grid - Accent 12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
    <w:name w:val="Light List - Accent 55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
    <w:name w:val="Light List - Accent 115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
    <w:name w:val="Light Grid - Accent 135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
    <w:name w:val="Medium Grid 1 - Accent 35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
    <w:name w:val="No List1211"/>
    <w:next w:val="NoList"/>
    <w:uiPriority w:val="99"/>
    <w:unhideWhenUsed/>
    <w:rsid w:val="00C9597C"/>
  </w:style>
  <w:style w:type="numbering" w:customStyle="1" w:styleId="NoList2211">
    <w:name w:val="No List2211"/>
    <w:next w:val="NoList"/>
    <w:uiPriority w:val="99"/>
    <w:unhideWhenUsed/>
    <w:rsid w:val="00C9597C"/>
  </w:style>
  <w:style w:type="numbering" w:customStyle="1" w:styleId="NoList3211">
    <w:name w:val="No List3211"/>
    <w:next w:val="NoList"/>
    <w:uiPriority w:val="99"/>
    <w:unhideWhenUsed/>
    <w:rsid w:val="00C9597C"/>
  </w:style>
  <w:style w:type="numbering" w:customStyle="1" w:styleId="NoList611">
    <w:name w:val="No List611"/>
    <w:next w:val="NoList"/>
    <w:uiPriority w:val="99"/>
    <w:unhideWhenUsed/>
    <w:rsid w:val="00C9597C"/>
  </w:style>
  <w:style w:type="table" w:customStyle="1" w:styleId="MediumGrid1-Accent1611">
    <w:name w:val="Medium Grid 1 - Accent 161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
    <w:name w:val="Light Grid - Accent 1161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
    <w:name w:val="Light Grid - Accent 561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
    <w:name w:val="Light Grid - Accent 12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
    <w:name w:val="Light List - Accent 561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
    <w:name w:val="Light List - Accent 1161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
    <w:name w:val="Light Grid - Accent 1361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
    <w:name w:val="Medium Grid 1 - Accent 361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
    <w:name w:val="No List1311"/>
    <w:next w:val="NoList"/>
    <w:uiPriority w:val="99"/>
    <w:unhideWhenUsed/>
    <w:rsid w:val="00C9597C"/>
  </w:style>
  <w:style w:type="numbering" w:customStyle="1" w:styleId="NoList2311">
    <w:name w:val="No List2311"/>
    <w:next w:val="NoList"/>
    <w:uiPriority w:val="99"/>
    <w:unhideWhenUsed/>
    <w:rsid w:val="00C9597C"/>
  </w:style>
  <w:style w:type="numbering" w:customStyle="1" w:styleId="NoList3311">
    <w:name w:val="No List3311"/>
    <w:next w:val="NoList"/>
    <w:uiPriority w:val="99"/>
    <w:unhideWhenUsed/>
    <w:rsid w:val="00C9597C"/>
  </w:style>
  <w:style w:type="numbering" w:customStyle="1" w:styleId="NoList81">
    <w:name w:val="No List81"/>
    <w:next w:val="NoList"/>
    <w:uiPriority w:val="99"/>
    <w:unhideWhenUsed/>
    <w:rsid w:val="00C9597C"/>
  </w:style>
  <w:style w:type="table" w:customStyle="1" w:styleId="TableGrid61">
    <w:name w:val="Table Grid6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
    <w:name w:val="Medium Grid 3 - Accent 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
    <w:name w:val="Medium Grid 1 - Accent 18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
    <w:name w:val="Light Grid - Accent 118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
    <w:name w:val="Light Grid - Accent 58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
    <w:name w:val="Light Grid - Accent 128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
    <w:name w:val="Light List - Accent 58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
    <w:name w:val="Light List - Accent 118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
    <w:name w:val="Light Grid - Accent 13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
    <w:name w:val="Medium Grid 1 - Accent 3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
    <w:name w:val="No List151"/>
    <w:next w:val="NoList"/>
    <w:uiPriority w:val="99"/>
    <w:unhideWhenUsed/>
    <w:rsid w:val="00C9597C"/>
  </w:style>
  <w:style w:type="table" w:customStyle="1" w:styleId="MediumGrid1-Accent1141">
    <w:name w:val="Medium Grid 1 - Accent 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
    <w:name w:val="Light Grid - Accent 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
    <w:name w:val="Light Grid - Accent 5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
    <w:name w:val="Light Grid - Accent 1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
    <w:name w:val="Light List - Accent 5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
    <w:name w:val="Light List - Accent 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
    <w:name w:val="Light Grid - Accent 1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
    <w:name w:val="Medium Grid 1 - Accent 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
    <w:name w:val="Grid Table 4 -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
    <w:name w:val="No List251"/>
    <w:next w:val="NoList"/>
    <w:uiPriority w:val="99"/>
    <w:unhideWhenUsed/>
    <w:rsid w:val="00C9597C"/>
  </w:style>
  <w:style w:type="table" w:customStyle="1" w:styleId="MediumGrid1-Accent1241">
    <w:name w:val="Medium Grid 1 - Accent 12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
    <w:name w:val="Light Grid - Accent 112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
    <w:name w:val="Light Grid - Accent 52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
    <w:name w:val="Light Grid - Accent 12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
    <w:name w:val="Light List - Accent 52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
    <w:name w:val="Light List - Accent 112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
    <w:name w:val="Light Grid - Accent 132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
    <w:name w:val="Medium Grid 1 - Accent 32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
    <w:name w:val="Grid Table 4 Accent 3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
    <w:name w:val="No List351"/>
    <w:next w:val="NoList"/>
    <w:uiPriority w:val="99"/>
    <w:unhideWhenUsed/>
    <w:rsid w:val="00C9597C"/>
  </w:style>
  <w:style w:type="table" w:customStyle="1" w:styleId="MediumGrid1-Accent1341">
    <w:name w:val="Medium Grid 1 - Accent 13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
    <w:name w:val="Light Grid - Accent 113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
    <w:name w:val="Light Grid - Accent 53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
    <w:name w:val="Light Grid - Accent 12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
    <w:name w:val="Light List - Accent 53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
    <w:name w:val="Light List - Accent 113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
    <w:name w:val="Light Grid - Accent 133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
    <w:name w:val="Medium Grid 1 - Accent 33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
    <w:name w:val="Grid Table 4 Accent 32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
    <w:name w:val="Table Grid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
    <w:name w:val="No List421"/>
    <w:next w:val="NoList"/>
    <w:uiPriority w:val="99"/>
    <w:unhideWhenUsed/>
    <w:rsid w:val="00C9597C"/>
  </w:style>
  <w:style w:type="table" w:customStyle="1" w:styleId="MediumGrid1-Accent1421">
    <w:name w:val="Medium Grid 1 - Accent 14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
    <w:name w:val="Light Grid - Accent 114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
    <w:name w:val="Light Grid - Accent 54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
    <w:name w:val="Light Grid - Accent 12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
    <w:name w:val="Light List - Accent 54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
    <w:name w:val="Light List - Accent 114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
    <w:name w:val="Light Grid - Accent 134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
    <w:name w:val="Medium Grid 1 - Accent 34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
    <w:name w:val="Table Grid212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
    <w:name w:val="Medium Grid 3 - Accent 112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
    <w:name w:val="No List1121"/>
    <w:next w:val="NoList"/>
    <w:uiPriority w:val="99"/>
    <w:unhideWhenUsed/>
    <w:rsid w:val="00C9597C"/>
  </w:style>
  <w:style w:type="table" w:customStyle="1" w:styleId="MediumGrid1-Accent11121">
    <w:name w:val="Medium Grid 1 - Accent 11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
    <w:name w:val="Light Grid - Accent 11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
    <w:name w:val="Light Grid - Accent 5112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
    <w:name w:val="Light Grid - Accent 12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
    <w:name w:val="Light List - Accent 5112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
    <w:name w:val="Light List - Accent 111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
    <w:name w:val="Light Grid - Accent 131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
    <w:name w:val="Medium Grid 1 - Accent 31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
    <w:name w:val="Grid Table 4 -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
    <w:name w:val="No List2121"/>
    <w:next w:val="NoList"/>
    <w:uiPriority w:val="99"/>
    <w:unhideWhenUsed/>
    <w:rsid w:val="00C9597C"/>
  </w:style>
  <w:style w:type="table" w:customStyle="1" w:styleId="MediumGrid1-Accent12121">
    <w:name w:val="Medium Grid 1 - Accent 12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
    <w:name w:val="Light Grid - Accent 112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
    <w:name w:val="Light Grid - Accent 52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
    <w:name w:val="Light Grid - Accent 12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
    <w:name w:val="Light List - Accent 52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
    <w:name w:val="Light List - Accent 112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
    <w:name w:val="Light Grid - Accent 132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
    <w:name w:val="Medium Grid 1 - Accent 32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
    <w:name w:val="Grid Table 4 Accent 31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
    <w:name w:val="No List3121"/>
    <w:next w:val="NoList"/>
    <w:uiPriority w:val="99"/>
    <w:unhideWhenUsed/>
    <w:rsid w:val="00C9597C"/>
  </w:style>
  <w:style w:type="table" w:customStyle="1" w:styleId="MediumGrid1-Accent13121">
    <w:name w:val="Medium Grid 1 - Accent 131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
    <w:name w:val="Light Grid - Accent 1131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
    <w:name w:val="Light Grid - Accent 531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
    <w:name w:val="Light Grid - Accent 12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
    <w:name w:val="Light List - Accent 531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
    <w:name w:val="Light List - Accent 1131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
    <w:name w:val="Light Grid - Accent 1331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
    <w:name w:val="Medium Grid 1 - Accent 331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
    <w:name w:val="Grid Table 4 Accent 3212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
    <w:name w:val="Table Grid112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
    <w:name w:val="No List521"/>
    <w:next w:val="NoList"/>
    <w:uiPriority w:val="99"/>
    <w:unhideWhenUsed/>
    <w:rsid w:val="00C9597C"/>
  </w:style>
  <w:style w:type="table" w:customStyle="1" w:styleId="MediumGrid1-Accent1521">
    <w:name w:val="Medium Grid 1 - Accent 15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
    <w:name w:val="Light Grid - Accent 115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
    <w:name w:val="Light Grid - Accent 55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
    <w:name w:val="Light Grid - Accent 12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
    <w:name w:val="Light List - Accent 55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
    <w:name w:val="Light List - Accent 115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
    <w:name w:val="Light Grid - Accent 135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
    <w:name w:val="Medium Grid 1 - Accent 35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
    <w:name w:val="No List1221"/>
    <w:next w:val="NoList"/>
    <w:uiPriority w:val="99"/>
    <w:unhideWhenUsed/>
    <w:rsid w:val="00C9597C"/>
  </w:style>
  <w:style w:type="numbering" w:customStyle="1" w:styleId="NoList2221">
    <w:name w:val="No List2221"/>
    <w:next w:val="NoList"/>
    <w:uiPriority w:val="99"/>
    <w:unhideWhenUsed/>
    <w:rsid w:val="00C9597C"/>
  </w:style>
  <w:style w:type="numbering" w:customStyle="1" w:styleId="NoList3221">
    <w:name w:val="No List3221"/>
    <w:next w:val="NoList"/>
    <w:uiPriority w:val="99"/>
    <w:unhideWhenUsed/>
    <w:rsid w:val="00C9597C"/>
  </w:style>
  <w:style w:type="numbering" w:customStyle="1" w:styleId="NoList621">
    <w:name w:val="No List621"/>
    <w:next w:val="NoList"/>
    <w:uiPriority w:val="99"/>
    <w:unhideWhenUsed/>
    <w:rsid w:val="00C9597C"/>
  </w:style>
  <w:style w:type="table" w:customStyle="1" w:styleId="MediumGrid1-Accent1621">
    <w:name w:val="Medium Grid 1 - Accent 162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
    <w:name w:val="Light Grid - Accent 1162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
    <w:name w:val="Light Grid - Accent 562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
    <w:name w:val="Light Grid - Accent 12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
    <w:name w:val="Light List - Accent 562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
    <w:name w:val="Light List - Accent 1162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
    <w:name w:val="Light Grid - Accent 1362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
    <w:name w:val="Medium Grid 1 - Accent 362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
    <w:name w:val="No List1321"/>
    <w:next w:val="NoList"/>
    <w:uiPriority w:val="99"/>
    <w:unhideWhenUsed/>
    <w:rsid w:val="00C9597C"/>
  </w:style>
  <w:style w:type="numbering" w:customStyle="1" w:styleId="NoList2321">
    <w:name w:val="No List2321"/>
    <w:next w:val="NoList"/>
    <w:uiPriority w:val="99"/>
    <w:unhideWhenUsed/>
    <w:rsid w:val="00C9597C"/>
  </w:style>
  <w:style w:type="numbering" w:customStyle="1" w:styleId="NoList3321">
    <w:name w:val="No List3321"/>
    <w:next w:val="NoList"/>
    <w:uiPriority w:val="99"/>
    <w:unhideWhenUsed/>
    <w:rsid w:val="00C9597C"/>
  </w:style>
  <w:style w:type="numbering" w:customStyle="1" w:styleId="NoList91">
    <w:name w:val="No List91"/>
    <w:next w:val="NoList"/>
    <w:uiPriority w:val="99"/>
    <w:unhideWhenUsed/>
    <w:rsid w:val="00C9597C"/>
  </w:style>
  <w:style w:type="table" w:customStyle="1" w:styleId="TableGrid71">
    <w:name w:val="Table Grid7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
    <w:name w:val="Medium Grid 3 - Accent 151"/>
    <w:basedOn w:val="TableNormal"/>
    <w:next w:val="MediumGrid3-Accent1"/>
    <w:uiPriority w:val="69"/>
    <w:locked/>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
    <w:name w:val="Medium Grid 1 - Accent 19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
    <w:name w:val="Light Grid - Accent 119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
    <w:name w:val="Light Grid - Accent 59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
    <w:name w:val="Light Grid - Accent 129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
    <w:name w:val="Light List - Accent 59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
    <w:name w:val="Light List - Accent 119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
    <w:name w:val="Light Grid - Accent 139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
    <w:name w:val="Medium Grid 1 - Accent 39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
    <w:name w:val="No List161"/>
    <w:next w:val="NoList"/>
    <w:uiPriority w:val="99"/>
    <w:unhideWhenUsed/>
    <w:rsid w:val="00C9597C"/>
  </w:style>
  <w:style w:type="table" w:customStyle="1" w:styleId="MediumGrid1-Accent1151">
    <w:name w:val="Medium Grid 1 - Accent 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
    <w:name w:val="Light Grid - Accent 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
    <w:name w:val="Light Grid - Accent 5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
    <w:name w:val="Light Grid - Accent 1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
    <w:name w:val="Light List - Accent 5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
    <w:name w:val="Light List - Accent 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
    <w:name w:val="Light Grid - Accent 1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
    <w:name w:val="Medium Grid 1 - Accent 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
    <w:name w:val="Grid Table 4 -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
    <w:name w:val="No List261"/>
    <w:next w:val="NoList"/>
    <w:uiPriority w:val="99"/>
    <w:unhideWhenUsed/>
    <w:rsid w:val="00C9597C"/>
  </w:style>
  <w:style w:type="table" w:customStyle="1" w:styleId="MediumGrid1-Accent1251">
    <w:name w:val="Medium Grid 1 - Accent 1251"/>
    <w:basedOn w:val="TableNormal"/>
    <w:next w:val="MediumGrid1-Accent1"/>
    <w:uiPriority w:val="67"/>
    <w:qFormat/>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
    <w:name w:val="Light Grid - Accent 112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
    <w:name w:val="Light Grid - Accent 52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
    <w:name w:val="Light Grid - Accent 12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
    <w:name w:val="Light List - Accent 52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
    <w:name w:val="Light List - Accent 112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
    <w:name w:val="Light Grid - Accent 132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
    <w:name w:val="Medium Grid 1 - Accent 32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
    <w:name w:val="Grid Table 4 Accent 3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
    <w:name w:val="No List361"/>
    <w:next w:val="NoList"/>
    <w:uiPriority w:val="99"/>
    <w:unhideWhenUsed/>
    <w:rsid w:val="00C9597C"/>
  </w:style>
  <w:style w:type="table" w:customStyle="1" w:styleId="MediumGrid1-Accent1351">
    <w:name w:val="Medium Grid 1 - Accent 13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
    <w:name w:val="Light Grid - Accent 113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
    <w:name w:val="Light Grid - Accent 53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
    <w:name w:val="Light Grid - Accent 12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
    <w:name w:val="Light List - Accent 53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
    <w:name w:val="Light List - Accent 113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
    <w:name w:val="Light Grid - Accent 133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
    <w:name w:val="Medium Grid 1 - Accent 33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
    <w:name w:val="Grid Table 4 Accent 32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
    <w:name w:val="Table Grid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
    <w:name w:val="No List431"/>
    <w:next w:val="NoList"/>
    <w:uiPriority w:val="99"/>
    <w:unhideWhenUsed/>
    <w:rsid w:val="00C9597C"/>
  </w:style>
  <w:style w:type="table" w:customStyle="1" w:styleId="MediumGrid1-Accent1431">
    <w:name w:val="Medium Grid 1 - Accent 14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
    <w:name w:val="Light Grid - Accent 114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
    <w:name w:val="Light Grid - Accent 54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
    <w:name w:val="Light Grid - Accent 12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
    <w:name w:val="Light List - Accent 54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
    <w:name w:val="Light List - Accent 114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
    <w:name w:val="Light Grid - Accent 134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
    <w:name w:val="Medium Grid 1 - Accent 34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
    <w:name w:val="Table Grid213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
    <w:name w:val="Medium Grid 3 - Accent 113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
    <w:name w:val="No List1131"/>
    <w:next w:val="NoList"/>
    <w:uiPriority w:val="99"/>
    <w:unhideWhenUsed/>
    <w:rsid w:val="00C9597C"/>
  </w:style>
  <w:style w:type="table" w:customStyle="1" w:styleId="MediumGrid1-Accent11131">
    <w:name w:val="Medium Grid 1 - Accent 11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
    <w:name w:val="Light Grid - Accent 11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
    <w:name w:val="Light Grid - Accent 5113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
    <w:name w:val="Light Grid - Accent 12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
    <w:name w:val="Light List - Accent 5113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
    <w:name w:val="Light List - Accent 111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
    <w:name w:val="Light Grid - Accent 131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
    <w:name w:val="Medium Grid 1 - Accent 31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
    <w:name w:val="Grid Table 4 -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
    <w:name w:val="No List2131"/>
    <w:next w:val="NoList"/>
    <w:uiPriority w:val="99"/>
    <w:unhideWhenUsed/>
    <w:rsid w:val="00C9597C"/>
  </w:style>
  <w:style w:type="table" w:customStyle="1" w:styleId="MediumGrid1-Accent12131">
    <w:name w:val="Medium Grid 1 - Accent 12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
    <w:name w:val="Light Grid - Accent 112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
    <w:name w:val="Light Grid - Accent 52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
    <w:name w:val="Light Grid - Accent 12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
    <w:name w:val="Light List - Accent 52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
    <w:name w:val="Light List - Accent 112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
    <w:name w:val="Light Grid - Accent 132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
    <w:name w:val="Medium Grid 1 - Accent 32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
    <w:name w:val="Grid Table 4 Accent 31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
    <w:name w:val="No List3131"/>
    <w:next w:val="NoList"/>
    <w:uiPriority w:val="99"/>
    <w:unhideWhenUsed/>
    <w:rsid w:val="00C9597C"/>
  </w:style>
  <w:style w:type="table" w:customStyle="1" w:styleId="MediumGrid1-Accent13131">
    <w:name w:val="Medium Grid 1 - Accent 131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
    <w:name w:val="Light Grid - Accent 1131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
    <w:name w:val="Light Grid - Accent 531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
    <w:name w:val="Light Grid - Accent 12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
    <w:name w:val="Light List - Accent 531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
    <w:name w:val="Light List - Accent 1131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
    <w:name w:val="Light Grid - Accent 1331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
    <w:name w:val="Medium Grid 1 - Accent 331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
    <w:name w:val="Grid Table 4 Accent 3213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
    <w:name w:val="Table Grid113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
    <w:name w:val="No List531"/>
    <w:next w:val="NoList"/>
    <w:uiPriority w:val="99"/>
    <w:unhideWhenUsed/>
    <w:rsid w:val="00C9597C"/>
  </w:style>
  <w:style w:type="table" w:customStyle="1" w:styleId="MediumGrid1-Accent1531">
    <w:name w:val="Medium Grid 1 - Accent 15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
    <w:name w:val="Light Grid - Accent 115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
    <w:name w:val="Light Grid - Accent 55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
    <w:name w:val="Light Grid - Accent 12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
    <w:name w:val="Light List - Accent 55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
    <w:name w:val="Light List - Accent 115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
    <w:name w:val="Light Grid - Accent 135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
    <w:name w:val="Medium Grid 1 - Accent 35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
    <w:name w:val="No List1231"/>
    <w:next w:val="NoList"/>
    <w:uiPriority w:val="99"/>
    <w:unhideWhenUsed/>
    <w:rsid w:val="00C9597C"/>
  </w:style>
  <w:style w:type="numbering" w:customStyle="1" w:styleId="NoList2231">
    <w:name w:val="No List2231"/>
    <w:next w:val="NoList"/>
    <w:uiPriority w:val="99"/>
    <w:unhideWhenUsed/>
    <w:rsid w:val="00C9597C"/>
  </w:style>
  <w:style w:type="numbering" w:customStyle="1" w:styleId="NoList3231">
    <w:name w:val="No List3231"/>
    <w:next w:val="NoList"/>
    <w:uiPriority w:val="99"/>
    <w:unhideWhenUsed/>
    <w:rsid w:val="00C9597C"/>
  </w:style>
  <w:style w:type="numbering" w:customStyle="1" w:styleId="NoList631">
    <w:name w:val="No List631"/>
    <w:next w:val="NoList"/>
    <w:uiPriority w:val="99"/>
    <w:unhideWhenUsed/>
    <w:rsid w:val="00C9597C"/>
  </w:style>
  <w:style w:type="table" w:customStyle="1" w:styleId="MediumGrid1-Accent1631">
    <w:name w:val="Medium Grid 1 - Accent 163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
    <w:name w:val="Light Grid - Accent 1163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
    <w:name w:val="Light Grid - Accent 563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
    <w:name w:val="Light Grid - Accent 12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
    <w:name w:val="Light List - Accent 563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
    <w:name w:val="Light List - Accent 1163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
    <w:name w:val="Light Grid - Accent 1363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
    <w:name w:val="Medium Grid 1 - Accent 363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
    <w:name w:val="No List1331"/>
    <w:next w:val="NoList"/>
    <w:uiPriority w:val="99"/>
    <w:unhideWhenUsed/>
    <w:rsid w:val="00C9597C"/>
  </w:style>
  <w:style w:type="numbering" w:customStyle="1" w:styleId="NoList2331">
    <w:name w:val="No List2331"/>
    <w:next w:val="NoList"/>
    <w:uiPriority w:val="99"/>
    <w:unhideWhenUsed/>
    <w:rsid w:val="00C9597C"/>
  </w:style>
  <w:style w:type="numbering" w:customStyle="1" w:styleId="NoList3331">
    <w:name w:val="No List3331"/>
    <w:next w:val="NoList"/>
    <w:uiPriority w:val="99"/>
    <w:unhideWhenUsed/>
    <w:rsid w:val="00C9597C"/>
  </w:style>
  <w:style w:type="numbering" w:customStyle="1" w:styleId="NoList101">
    <w:name w:val="No List101"/>
    <w:next w:val="NoList"/>
    <w:uiPriority w:val="99"/>
    <w:unhideWhenUsed/>
    <w:rsid w:val="00C9597C"/>
  </w:style>
  <w:style w:type="table" w:customStyle="1" w:styleId="TableGrid81">
    <w:name w:val="Table Grid8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
    <w:name w:val="Medium Grid 3 - Accent 16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
    <w:name w:val="Medium Grid 1 - Accent 110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
    <w:name w:val="Light Grid - Accent 1110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
    <w:name w:val="Light Grid - Accent 510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
    <w:name w:val="Light Grid - Accent 1210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
    <w:name w:val="Light List - Accent 5101"/>
    <w:basedOn w:val="TableNormal"/>
    <w:next w:val="LightList-Accent5"/>
    <w:uiPriority w:val="61"/>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
    <w:name w:val="Light List - Accent 1110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
    <w:name w:val="Light Grid - Accent 1310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
    <w:name w:val="Medium Grid 1 - Accent 310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
    <w:name w:val="No List171"/>
    <w:next w:val="NoList"/>
    <w:uiPriority w:val="99"/>
    <w:unhideWhenUsed/>
    <w:rsid w:val="00C9597C"/>
  </w:style>
  <w:style w:type="table" w:customStyle="1" w:styleId="MediumGrid1-Accent1161">
    <w:name w:val="Medium Grid 1 - Accent 11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
    <w:name w:val="Light Grid - Accent 11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
    <w:name w:val="Light Grid - Accent 516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
    <w:name w:val="Light Grid - Accent 12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
    <w:name w:val="Light List - Accent 516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
    <w:name w:val="Light List - Accent 111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
    <w:name w:val="Light Grid - Accent 131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
    <w:name w:val="Medium Grid 1 - Accent 31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
    <w:name w:val="Grid Table 4 -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
    <w:name w:val="No List271"/>
    <w:next w:val="NoList"/>
    <w:uiPriority w:val="99"/>
    <w:unhideWhenUsed/>
    <w:rsid w:val="00C9597C"/>
  </w:style>
  <w:style w:type="table" w:customStyle="1" w:styleId="MediumGrid1-Accent1261">
    <w:name w:val="Medium Grid 1 - Accent 12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
    <w:name w:val="Light Grid - Accent 112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
    <w:name w:val="Light Grid - Accent 52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
    <w:name w:val="Light Grid - Accent 12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
    <w:name w:val="Light List - Accent 52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
    <w:name w:val="Light List - Accent 112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
    <w:name w:val="Light Grid - Accent 132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
    <w:name w:val="Medium Grid 1 - Accent 32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
    <w:name w:val="Grid Table 4 Accent 31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
    <w:name w:val="No List371"/>
    <w:next w:val="NoList"/>
    <w:uiPriority w:val="99"/>
    <w:unhideWhenUsed/>
    <w:rsid w:val="00C9597C"/>
  </w:style>
  <w:style w:type="table" w:customStyle="1" w:styleId="MediumGrid1-Accent1361">
    <w:name w:val="Medium Grid 1 - Accent 136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
    <w:name w:val="Light Grid - Accent 1136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
    <w:name w:val="Light Grid - Accent 536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
    <w:name w:val="Light Grid - Accent 12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
    <w:name w:val="Light List - Accent 536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
    <w:name w:val="Light List - Accent 1136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
    <w:name w:val="Light Grid - Accent 1336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
    <w:name w:val="Medium Grid 1 - Accent 336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
    <w:name w:val="Grid Table 4 Accent 326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
    <w:name w:val="Table Grid16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
    <w:name w:val="No List441"/>
    <w:next w:val="NoList"/>
    <w:uiPriority w:val="99"/>
    <w:unhideWhenUsed/>
    <w:rsid w:val="00C9597C"/>
  </w:style>
  <w:style w:type="table" w:customStyle="1" w:styleId="MediumGrid1-Accent1441">
    <w:name w:val="Medium Grid 1 - Accent 14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
    <w:name w:val="Light Grid - Accent 114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
    <w:name w:val="Light Grid - Accent 54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
    <w:name w:val="Light Grid - Accent 12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
    <w:name w:val="Light List - Accent 54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
    <w:name w:val="Light List - Accent 114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
    <w:name w:val="Light Grid - Accent 134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
    <w:name w:val="Medium Grid 1 - Accent 34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
    <w:name w:val="Table Grid214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
    <w:name w:val="Medium Grid 3 - Accent 114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
    <w:name w:val="No List1141"/>
    <w:next w:val="NoList"/>
    <w:uiPriority w:val="99"/>
    <w:unhideWhenUsed/>
    <w:rsid w:val="00C9597C"/>
  </w:style>
  <w:style w:type="table" w:customStyle="1" w:styleId="MediumGrid1-Accent11141">
    <w:name w:val="Medium Grid 1 - Accent 11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
    <w:name w:val="Light Grid - Accent 11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
    <w:name w:val="Light Grid - Accent 5114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
    <w:name w:val="Light Grid - Accent 12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
    <w:name w:val="Light List - Accent 5114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
    <w:name w:val="Light List - Accent 111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
    <w:name w:val="Light Grid - Accent 131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
    <w:name w:val="Medium Grid 1 - Accent 31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
    <w:name w:val="Grid Table 4 -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
    <w:name w:val="No List2141"/>
    <w:next w:val="NoList"/>
    <w:uiPriority w:val="99"/>
    <w:unhideWhenUsed/>
    <w:rsid w:val="00C9597C"/>
  </w:style>
  <w:style w:type="table" w:customStyle="1" w:styleId="MediumGrid1-Accent12141">
    <w:name w:val="Medium Grid 1 - Accent 12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
    <w:name w:val="Light Grid - Accent 112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
    <w:name w:val="Light Grid - Accent 52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
    <w:name w:val="Light Grid - Accent 12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
    <w:name w:val="Light List - Accent 52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
    <w:name w:val="Light List - Accent 112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
    <w:name w:val="Light Grid - Accent 132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
    <w:name w:val="Medium Grid 1 - Accent 32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
    <w:name w:val="Grid Table 4 Accent 31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
    <w:name w:val="No List3141"/>
    <w:next w:val="NoList"/>
    <w:uiPriority w:val="99"/>
    <w:unhideWhenUsed/>
    <w:rsid w:val="00C9597C"/>
  </w:style>
  <w:style w:type="table" w:customStyle="1" w:styleId="MediumGrid1-Accent13141">
    <w:name w:val="Medium Grid 1 - Accent 131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
    <w:name w:val="Light Grid - Accent 1131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
    <w:name w:val="Light Grid - Accent 531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
    <w:name w:val="Light Grid - Accent 12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
    <w:name w:val="Light List - Accent 531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
    <w:name w:val="Light List - Accent 1131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
    <w:name w:val="Light Grid - Accent 1331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
    <w:name w:val="Medium Grid 1 - Accent 331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
    <w:name w:val="Grid Table 4 Accent 3214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
    <w:name w:val="Table Grid114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
    <w:name w:val="No List541"/>
    <w:next w:val="NoList"/>
    <w:uiPriority w:val="99"/>
    <w:unhideWhenUsed/>
    <w:rsid w:val="00C9597C"/>
  </w:style>
  <w:style w:type="table" w:customStyle="1" w:styleId="MediumGrid1-Accent1541">
    <w:name w:val="Medium Grid 1 - Accent 15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
    <w:name w:val="Light Grid - Accent 115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
    <w:name w:val="Light Grid - Accent 55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
    <w:name w:val="Light Grid - Accent 12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
    <w:name w:val="Light List - Accent 55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
    <w:name w:val="Light List - Accent 115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
    <w:name w:val="Light Grid - Accent 135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
    <w:name w:val="Medium Grid 1 - Accent 35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
    <w:name w:val="No List1241"/>
    <w:next w:val="NoList"/>
    <w:uiPriority w:val="99"/>
    <w:unhideWhenUsed/>
    <w:rsid w:val="00C9597C"/>
  </w:style>
  <w:style w:type="numbering" w:customStyle="1" w:styleId="NoList2241">
    <w:name w:val="No List2241"/>
    <w:next w:val="NoList"/>
    <w:uiPriority w:val="99"/>
    <w:unhideWhenUsed/>
    <w:rsid w:val="00C9597C"/>
  </w:style>
  <w:style w:type="numbering" w:customStyle="1" w:styleId="NoList3241">
    <w:name w:val="No List3241"/>
    <w:next w:val="NoList"/>
    <w:uiPriority w:val="99"/>
    <w:unhideWhenUsed/>
    <w:rsid w:val="00C9597C"/>
  </w:style>
  <w:style w:type="numbering" w:customStyle="1" w:styleId="NoList641">
    <w:name w:val="No List641"/>
    <w:next w:val="NoList"/>
    <w:uiPriority w:val="99"/>
    <w:unhideWhenUsed/>
    <w:rsid w:val="00C9597C"/>
  </w:style>
  <w:style w:type="table" w:customStyle="1" w:styleId="MediumGrid1-Accent1641">
    <w:name w:val="Medium Grid 1 - Accent 164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
    <w:name w:val="Light Grid - Accent 1164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
    <w:name w:val="Light Grid - Accent 564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
    <w:name w:val="Light Grid - Accent 12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
    <w:name w:val="Light List - Accent 564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
    <w:name w:val="Light List - Accent 1164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
    <w:name w:val="Light Grid - Accent 1364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
    <w:name w:val="Medium Grid 1 - Accent 364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
    <w:name w:val="No List1341"/>
    <w:next w:val="NoList"/>
    <w:uiPriority w:val="99"/>
    <w:unhideWhenUsed/>
    <w:rsid w:val="00C9597C"/>
  </w:style>
  <w:style w:type="numbering" w:customStyle="1" w:styleId="NoList2341">
    <w:name w:val="No List2341"/>
    <w:next w:val="NoList"/>
    <w:uiPriority w:val="99"/>
    <w:unhideWhenUsed/>
    <w:rsid w:val="00C9597C"/>
  </w:style>
  <w:style w:type="numbering" w:customStyle="1" w:styleId="NoList3341">
    <w:name w:val="No List3341"/>
    <w:next w:val="NoList"/>
    <w:uiPriority w:val="99"/>
    <w:unhideWhenUsed/>
    <w:rsid w:val="00C9597C"/>
  </w:style>
  <w:style w:type="numbering" w:customStyle="1" w:styleId="NoList181">
    <w:name w:val="No List181"/>
    <w:next w:val="NoList"/>
    <w:uiPriority w:val="99"/>
    <w:unhideWhenUsed/>
    <w:rsid w:val="00C9597C"/>
  </w:style>
  <w:style w:type="table" w:customStyle="1" w:styleId="TableGrid91">
    <w:name w:val="Table Grid9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
    <w:name w:val="Medium Grid 3 - Accent 17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
    <w:name w:val="Medium Grid 1 - Accent 1171"/>
    <w:basedOn w:val="TableNormal"/>
    <w:next w:val="MediumGrid1-Accent1"/>
    <w:uiPriority w:val="67"/>
    <w:rsid w:val="00C9597C"/>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
    <w:name w:val="Light Grid - Accent 11171"/>
    <w:basedOn w:val="TableNormal"/>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
    <w:name w:val="Light Grid - Accent 5171"/>
    <w:basedOn w:val="TableNormal"/>
    <w:next w:val="LightGrid-Accent5"/>
    <w:uiPriority w:val="62"/>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
    <w:name w:val="Light Grid - Accent 12171"/>
    <w:basedOn w:val="TableNormal"/>
    <w:uiPriority w:val="62"/>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
    <w:name w:val="Light List - Accent 5171"/>
    <w:basedOn w:val="TableNormal"/>
    <w:next w:val="LightList-Accent5"/>
    <w:uiPriority w:val="61"/>
    <w:locked/>
    <w:rsid w:val="00C9597C"/>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
    <w:name w:val="Light List - Accent 11171"/>
    <w:basedOn w:val="TableNormal"/>
    <w:uiPriority w:val="61"/>
    <w:rsid w:val="00C9597C"/>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
    <w:name w:val="Light Grid - Accent 131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
    <w:name w:val="Medium Grid 1 - Accent 31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
    <w:name w:val="No List191"/>
    <w:next w:val="NoList"/>
    <w:uiPriority w:val="99"/>
    <w:unhideWhenUsed/>
    <w:rsid w:val="00C9597C"/>
  </w:style>
  <w:style w:type="table" w:customStyle="1" w:styleId="MediumGrid1-Accent1181">
    <w:name w:val="Medium Grid 1 - Accent 118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
    <w:name w:val="Light Grid - Accent 11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
    <w:name w:val="Light Grid - Accent 518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
    <w:name w:val="Light Grid - Accent 12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
    <w:name w:val="Light List - Accent 518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
    <w:name w:val="Light List - Accent 1118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
    <w:name w:val="Light Grid - Accent 1318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
    <w:name w:val="Medium Grid 1 - Accent 318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
    <w:name w:val="Grid Table 4 -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
    <w:name w:val="No List281"/>
    <w:next w:val="NoList"/>
    <w:uiPriority w:val="99"/>
    <w:unhideWhenUsed/>
    <w:rsid w:val="00C9597C"/>
  </w:style>
  <w:style w:type="table" w:customStyle="1" w:styleId="MediumGrid1-Accent1271">
    <w:name w:val="Medium Grid 1 - Accent 12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
    <w:name w:val="Light Grid - Accent 112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
    <w:name w:val="Light Grid - Accent 52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
    <w:name w:val="Light Grid - Accent 12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
    <w:name w:val="Light List - Accent 52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
    <w:name w:val="Light List - Accent 112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
    <w:name w:val="Light Grid - Accent 132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
    <w:name w:val="Medium Grid 1 - Accent 32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
    <w:name w:val="Grid Table 4 Accent 31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
    <w:name w:val="No List381"/>
    <w:next w:val="NoList"/>
    <w:uiPriority w:val="99"/>
    <w:unhideWhenUsed/>
    <w:rsid w:val="00C9597C"/>
  </w:style>
  <w:style w:type="table" w:customStyle="1" w:styleId="MediumGrid1-Accent1371">
    <w:name w:val="Medium Grid 1 - Accent 137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
    <w:name w:val="Light Grid - Accent 1137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
    <w:name w:val="Light Grid - Accent 537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
    <w:name w:val="Light Grid - Accent 12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
    <w:name w:val="Light List - Accent 537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
    <w:name w:val="Light List - Accent 1137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
    <w:name w:val="Light Grid - Accent 1337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
    <w:name w:val="Medium Grid 1 - Accent 337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
    <w:name w:val="Grid Table 4 Accent 327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
    <w:name w:val="Table Grid17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next w:val="TableGrid"/>
    <w:uiPriority w:val="59"/>
    <w:rsid w:val="00C9597C"/>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
    <w:name w:val="No List451"/>
    <w:next w:val="NoList"/>
    <w:uiPriority w:val="99"/>
    <w:unhideWhenUsed/>
    <w:rsid w:val="00C9597C"/>
  </w:style>
  <w:style w:type="table" w:customStyle="1" w:styleId="MediumGrid1-Accent1451">
    <w:name w:val="Medium Grid 1 - Accent 14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
    <w:name w:val="Light Grid - Accent 114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
    <w:name w:val="Light Grid - Accent 54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
    <w:name w:val="Light Grid - Accent 12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
    <w:name w:val="Light List - Accent 54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
    <w:name w:val="Light List - Accent 114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
    <w:name w:val="Light Grid - Accent 134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
    <w:name w:val="Medium Grid 1 - Accent 34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
    <w:name w:val="Table Grid2151"/>
    <w:basedOn w:val="TableNormal"/>
    <w:next w:val="TableGrid"/>
    <w:uiPriority w:val="39"/>
    <w:rsid w:val="00C9597C"/>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
    <w:name w:val="Medium Grid 3 - Accent 1151"/>
    <w:basedOn w:val="TableNormal"/>
    <w:next w:val="MediumGrid3-Accent1"/>
    <w:uiPriority w:val="69"/>
    <w:rsid w:val="00C9597C"/>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
    <w:name w:val="No List1151"/>
    <w:next w:val="NoList"/>
    <w:uiPriority w:val="99"/>
    <w:unhideWhenUsed/>
    <w:rsid w:val="00C9597C"/>
  </w:style>
  <w:style w:type="table" w:customStyle="1" w:styleId="MediumGrid1-Accent11151">
    <w:name w:val="Medium Grid 1 - Accent 11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
    <w:name w:val="Light Grid - Accent 11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
    <w:name w:val="Light Grid - Accent 51151"/>
    <w:basedOn w:val="TableNormal"/>
    <w:next w:val="LightGrid-Accent5"/>
    <w:uiPriority w:val="62"/>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
    <w:name w:val="Light Grid - Accent 12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
    <w:name w:val="Light List - Accent 51151"/>
    <w:basedOn w:val="TableNormal"/>
    <w:next w:val="LightList-Accent5"/>
    <w:uiPriority w:val="61"/>
    <w:rsid w:val="00C9597C"/>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
    <w:name w:val="Light List - Accent 111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
    <w:name w:val="Light Grid - Accent 131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
    <w:name w:val="Medium Grid 1 - Accent 31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
    <w:name w:val="Grid Table 4 -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
    <w:name w:val="No List2151"/>
    <w:next w:val="NoList"/>
    <w:uiPriority w:val="99"/>
    <w:unhideWhenUsed/>
    <w:rsid w:val="00C9597C"/>
  </w:style>
  <w:style w:type="table" w:customStyle="1" w:styleId="MediumGrid1-Accent12151">
    <w:name w:val="Medium Grid 1 - Accent 12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
    <w:name w:val="Light Grid - Accent 112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
    <w:name w:val="Light Grid - Accent 52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
    <w:name w:val="Light Grid - Accent 12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
    <w:name w:val="Light List - Accent 52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
    <w:name w:val="Light List - Accent 112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
    <w:name w:val="Light Grid - Accent 132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
    <w:name w:val="Medium Grid 1 - Accent 32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
    <w:name w:val="Grid Table 4 Accent 31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
    <w:name w:val="No List3151"/>
    <w:next w:val="NoList"/>
    <w:uiPriority w:val="99"/>
    <w:unhideWhenUsed/>
    <w:rsid w:val="00C9597C"/>
  </w:style>
  <w:style w:type="table" w:customStyle="1" w:styleId="MediumGrid1-Accent13151">
    <w:name w:val="Medium Grid 1 - Accent 131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
    <w:name w:val="Light Grid - Accent 1131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
    <w:name w:val="Light Grid - Accent 531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
    <w:name w:val="Light Grid - Accent 12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
    <w:name w:val="Light List - Accent 531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
    <w:name w:val="Light List - Accent 1131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
    <w:name w:val="Light Grid - Accent 1331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
    <w:name w:val="Medium Grid 1 - Accent 331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
    <w:name w:val="Grid Table 4 Accent 32151"/>
    <w:basedOn w:val="TableNormal"/>
    <w:uiPriority w:val="49"/>
    <w:rsid w:val="00C9597C"/>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
    <w:name w:val="Table Grid1151"/>
    <w:basedOn w:val="TableNormal"/>
    <w:next w:val="TableGrid"/>
    <w:uiPriority w:val="39"/>
    <w:rsid w:val="00C9597C"/>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
    <w:name w:val="No List551"/>
    <w:next w:val="NoList"/>
    <w:uiPriority w:val="99"/>
    <w:unhideWhenUsed/>
    <w:rsid w:val="00C9597C"/>
  </w:style>
  <w:style w:type="table" w:customStyle="1" w:styleId="MediumGrid1-Accent1551">
    <w:name w:val="Medium Grid 1 - Accent 15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
    <w:name w:val="Light Grid - Accent 115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
    <w:name w:val="Light Grid - Accent 55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
    <w:name w:val="Light Grid - Accent 12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
    <w:name w:val="Light List - Accent 55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
    <w:name w:val="Light List - Accent 115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
    <w:name w:val="Light Grid - Accent 135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
    <w:name w:val="Medium Grid 1 - Accent 35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
    <w:name w:val="No List1251"/>
    <w:next w:val="NoList"/>
    <w:uiPriority w:val="99"/>
    <w:unhideWhenUsed/>
    <w:rsid w:val="00C9597C"/>
  </w:style>
  <w:style w:type="numbering" w:customStyle="1" w:styleId="NoList2251">
    <w:name w:val="No List2251"/>
    <w:next w:val="NoList"/>
    <w:uiPriority w:val="99"/>
    <w:unhideWhenUsed/>
    <w:rsid w:val="00C9597C"/>
  </w:style>
  <w:style w:type="numbering" w:customStyle="1" w:styleId="NoList3251">
    <w:name w:val="No List3251"/>
    <w:next w:val="NoList"/>
    <w:uiPriority w:val="99"/>
    <w:unhideWhenUsed/>
    <w:rsid w:val="00C9597C"/>
  </w:style>
  <w:style w:type="numbering" w:customStyle="1" w:styleId="NoList651">
    <w:name w:val="No List651"/>
    <w:next w:val="NoList"/>
    <w:uiPriority w:val="99"/>
    <w:unhideWhenUsed/>
    <w:rsid w:val="00C9597C"/>
  </w:style>
  <w:style w:type="table" w:customStyle="1" w:styleId="MediumGrid1-Accent1651">
    <w:name w:val="Medium Grid 1 - Accent 1651"/>
    <w:basedOn w:val="TableNormal"/>
    <w:next w:val="MediumGrid1-Accent1"/>
    <w:uiPriority w:val="67"/>
    <w:rsid w:val="00C9597C"/>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
    <w:name w:val="Light Grid - Accent 11651"/>
    <w:basedOn w:val="TableNormal"/>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
    <w:name w:val="Light Grid - Accent 5651"/>
    <w:basedOn w:val="TableNormal"/>
    <w:next w:val="LightGrid-Accent5"/>
    <w:uiPriority w:val="62"/>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
    <w:name w:val="Light Grid - Accent 12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
    <w:name w:val="Light List - Accent 5651"/>
    <w:basedOn w:val="TableNormal"/>
    <w:next w:val="LightList-Accent5"/>
    <w:uiPriority w:val="61"/>
    <w:rsid w:val="00C9597C"/>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
    <w:name w:val="Light List - Accent 11651"/>
    <w:basedOn w:val="TableNormal"/>
    <w:uiPriority w:val="61"/>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
    <w:name w:val="Light Grid - Accent 13651"/>
    <w:basedOn w:val="TableNormal"/>
    <w:uiPriority w:val="62"/>
    <w:rsid w:val="00C9597C"/>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
    <w:name w:val="Medium Grid 1 - Accent 3651"/>
    <w:basedOn w:val="TableNormal"/>
    <w:next w:val="MediumGrid1-Accent3"/>
    <w:uiPriority w:val="67"/>
    <w:rsid w:val="00C9597C"/>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
    <w:name w:val="No List1351"/>
    <w:next w:val="NoList"/>
    <w:uiPriority w:val="99"/>
    <w:unhideWhenUsed/>
    <w:rsid w:val="00C9597C"/>
  </w:style>
  <w:style w:type="numbering" w:customStyle="1" w:styleId="NoList2351">
    <w:name w:val="No List2351"/>
    <w:next w:val="NoList"/>
    <w:uiPriority w:val="99"/>
    <w:unhideWhenUsed/>
    <w:rsid w:val="00C9597C"/>
  </w:style>
  <w:style w:type="numbering" w:customStyle="1" w:styleId="NoList3351">
    <w:name w:val="No List3351"/>
    <w:next w:val="NoList"/>
    <w:uiPriority w:val="99"/>
    <w:unhideWhenUsed/>
    <w:rsid w:val="00C9597C"/>
  </w:style>
  <w:style w:type="table" w:styleId="GridTable4-Accent5">
    <w:name w:val="Grid Table 4 Accent 5"/>
    <w:basedOn w:val="TableNormal"/>
    <w:uiPriority w:val="49"/>
    <w:rsid w:val="00B25DA6"/>
    <w:rPr>
      <w:rFonts w:asciiTheme="minorHAnsi" w:hAnsiTheme="minorHAnsi" w:cstheme="minorBidi"/>
      <w:sz w:val="22"/>
      <w:szCs w:val="22"/>
      <w:lang w:val="en-IN"/>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numbering" w:customStyle="1" w:styleId="NoList30">
    <w:name w:val="No List30"/>
    <w:next w:val="NoList"/>
    <w:uiPriority w:val="99"/>
    <w:unhideWhenUsed/>
    <w:rsid w:val="00C64FC7"/>
  </w:style>
  <w:style w:type="table" w:customStyle="1" w:styleId="TableGrid19">
    <w:name w:val="Table Grid19"/>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9">
    <w:name w:val="Medium Grid 3 - Accent 19"/>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20">
    <w:name w:val="Medium Grid 1 - Accent 12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20">
    <w:name w:val="Light Grid - Accent 112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20">
    <w:name w:val="Light Grid - Accent 52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20">
    <w:name w:val="Light Grid - Accent 122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20">
    <w:name w:val="Light List - Accent 52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20">
    <w:name w:val="Light List - Accent 112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20">
    <w:name w:val="Light Grid - Accent 132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20">
    <w:name w:val="Medium Grid 1 - Accent 32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7">
    <w:name w:val="No List117"/>
    <w:next w:val="NoList"/>
    <w:uiPriority w:val="99"/>
    <w:unhideWhenUsed/>
    <w:rsid w:val="00C64FC7"/>
  </w:style>
  <w:style w:type="table" w:customStyle="1" w:styleId="MediumGrid1-Accent1117">
    <w:name w:val="Medium Grid 1 - Accent 11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7">
    <w:name w:val="Light Grid - Accent 11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7">
    <w:name w:val="Light Grid - Accent 5117"/>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7">
    <w:name w:val="Light Grid - Accent 12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7">
    <w:name w:val="Light List - Accent 5117"/>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7">
    <w:name w:val="Light List - Accent 111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7">
    <w:name w:val="Light Grid - Accent 131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7">
    <w:name w:val="Medium Grid 1 - Accent 31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9">
    <w:name w:val="Grid Table 4 -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0">
    <w:name w:val="No List210"/>
    <w:next w:val="NoList"/>
    <w:uiPriority w:val="99"/>
    <w:unhideWhenUsed/>
    <w:rsid w:val="00C64FC7"/>
  </w:style>
  <w:style w:type="table" w:customStyle="1" w:styleId="MediumGrid1-Accent129">
    <w:name w:val="Medium Grid 1 - Accent 12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9">
    <w:name w:val="Light Grid - Accent 112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9">
    <w:name w:val="Light Grid - Accent 52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9">
    <w:name w:val="Light Grid - Accent 12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9">
    <w:name w:val="Light List - Accent 52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9">
    <w:name w:val="Light List - Accent 112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9">
    <w:name w:val="Light Grid - Accent 132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9">
    <w:name w:val="Medium Grid 1 - Accent 32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9">
    <w:name w:val="Grid Table 4 Accent 31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0">
    <w:name w:val="No List310"/>
    <w:next w:val="NoList"/>
    <w:uiPriority w:val="99"/>
    <w:unhideWhenUsed/>
    <w:rsid w:val="00C64FC7"/>
  </w:style>
  <w:style w:type="table" w:customStyle="1" w:styleId="MediumGrid1-Accent139">
    <w:name w:val="Medium Grid 1 - Accent 13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9">
    <w:name w:val="Light Grid - Accent 1139"/>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9">
    <w:name w:val="Light Grid - Accent 539"/>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9">
    <w:name w:val="Light Grid - Accent 12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9">
    <w:name w:val="Light List - Accent 539"/>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9">
    <w:name w:val="Light List - Accent 113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9">
    <w:name w:val="Light Grid - Accent 133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9">
    <w:name w:val="Medium Grid 1 - Accent 33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9">
    <w:name w:val="Grid Table 4 Accent 329"/>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0">
    <w:name w:val="Table Grid110"/>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7">
    <w:name w:val="No List47"/>
    <w:next w:val="NoList"/>
    <w:uiPriority w:val="99"/>
    <w:unhideWhenUsed/>
    <w:rsid w:val="00C64FC7"/>
  </w:style>
  <w:style w:type="table" w:customStyle="1" w:styleId="MediumGrid1-Accent147">
    <w:name w:val="Medium Grid 1 - Accent 14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7">
    <w:name w:val="Light Grid - Accent 114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7">
    <w:name w:val="Light Grid - Accent 547"/>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7">
    <w:name w:val="Light Grid - Accent 12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7">
    <w:name w:val="Light List - Accent 54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7">
    <w:name w:val="Light List - Accent 114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7">
    <w:name w:val="Light Grid - Accent 134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7">
    <w:name w:val="Medium Grid 1 - Accent 34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2">
    <w:name w:val="Table Grid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7">
    <w:name w:val="Medium Grid 3 - Accent 117"/>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8">
    <w:name w:val="No List118"/>
    <w:next w:val="NoList"/>
    <w:uiPriority w:val="99"/>
    <w:unhideWhenUsed/>
    <w:rsid w:val="00C64FC7"/>
  </w:style>
  <w:style w:type="table" w:customStyle="1" w:styleId="MediumGrid1-Accent1118">
    <w:name w:val="Medium Grid 1 - Accent 11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8">
    <w:name w:val="Light Grid - Accent 11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8">
    <w:name w:val="Light Grid - Accent 5118"/>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8">
    <w:name w:val="Light Grid - Accent 12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8">
    <w:name w:val="Light List - Accent 5118"/>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8">
    <w:name w:val="Light List - Accent 111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8">
    <w:name w:val="Light Grid - Accent 131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8">
    <w:name w:val="Medium Grid 1 - Accent 31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7">
    <w:name w:val="Grid Table 4 -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7">
    <w:name w:val="No List217"/>
    <w:next w:val="NoList"/>
    <w:uiPriority w:val="99"/>
    <w:unhideWhenUsed/>
    <w:rsid w:val="00C64FC7"/>
  </w:style>
  <w:style w:type="table" w:customStyle="1" w:styleId="MediumGrid1-Accent1217">
    <w:name w:val="Medium Grid 1 - Accent 12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7">
    <w:name w:val="Light Grid - Accent 112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7">
    <w:name w:val="Light Grid - Accent 52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7">
    <w:name w:val="Light Grid - Accent 12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7">
    <w:name w:val="Light List - Accent 52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7">
    <w:name w:val="Light List - Accent 112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7">
    <w:name w:val="Light Grid - Accent 132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7">
    <w:name w:val="Medium Grid 1 - Accent 32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7">
    <w:name w:val="Grid Table 4 Accent 31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7">
    <w:name w:val="No List317"/>
    <w:next w:val="NoList"/>
    <w:uiPriority w:val="99"/>
    <w:unhideWhenUsed/>
    <w:rsid w:val="00C64FC7"/>
  </w:style>
  <w:style w:type="table" w:customStyle="1" w:styleId="MediumGrid1-Accent1317">
    <w:name w:val="Medium Grid 1 - Accent 131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7">
    <w:name w:val="Light Grid - Accent 1131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7">
    <w:name w:val="Light Grid - Accent 531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7">
    <w:name w:val="Light Grid - Accent 12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7">
    <w:name w:val="Light List - Accent 531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7">
    <w:name w:val="Light List - Accent 1131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7">
    <w:name w:val="Light Grid - Accent 1331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7">
    <w:name w:val="Medium Grid 1 - Accent 331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7">
    <w:name w:val="Grid Table 4 Accent 3217"/>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7">
    <w:name w:val="Table Grid117"/>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7">
    <w:name w:val="No List57"/>
    <w:next w:val="NoList"/>
    <w:uiPriority w:val="99"/>
    <w:unhideWhenUsed/>
    <w:rsid w:val="00C64FC7"/>
  </w:style>
  <w:style w:type="table" w:customStyle="1" w:styleId="TableGrid42">
    <w:name w:val="Table Grid4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2">
    <w:name w:val="Medium Grid 3 - Accent 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7">
    <w:name w:val="Medium Grid 1 - Accent 157"/>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7">
    <w:name w:val="Light Grid - Accent 1157"/>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7">
    <w:name w:val="Light Grid - Accent 557"/>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7">
    <w:name w:val="Light Grid - Accent 1257"/>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7">
    <w:name w:val="Light List - Accent 557"/>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7">
    <w:name w:val="Light List - Accent 1157"/>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7">
    <w:name w:val="Light Grid - Accent 135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7">
    <w:name w:val="Medium Grid 1 - Accent 35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7">
    <w:name w:val="No List127"/>
    <w:next w:val="NoList"/>
    <w:uiPriority w:val="99"/>
    <w:unhideWhenUsed/>
    <w:rsid w:val="00C64FC7"/>
  </w:style>
  <w:style w:type="table" w:customStyle="1" w:styleId="MediumGrid1-Accent1122">
    <w:name w:val="Medium Grid 1 - Accent 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2">
    <w:name w:val="Light Grid - Accent 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2">
    <w:name w:val="Light Grid - Accent 5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2">
    <w:name w:val="Light Grid - Accent 1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2">
    <w:name w:val="Light List - Accent 5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2">
    <w:name w:val="Light List - Accent 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2">
    <w:name w:val="Light Grid - Accent 1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2">
    <w:name w:val="Medium Grid 1 - Accent 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2">
    <w:name w:val="Grid Table 4 -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7">
    <w:name w:val="No List227"/>
    <w:next w:val="NoList"/>
    <w:uiPriority w:val="99"/>
    <w:unhideWhenUsed/>
    <w:rsid w:val="00C64FC7"/>
  </w:style>
  <w:style w:type="table" w:customStyle="1" w:styleId="MediumGrid1-Accent1222">
    <w:name w:val="Medium Grid 1 - Accent 12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2">
    <w:name w:val="Light Grid - Accent 112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2">
    <w:name w:val="Light Grid - Accent 52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2">
    <w:name w:val="Light Grid - Accent 12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2">
    <w:name w:val="Light List - Accent 52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2">
    <w:name w:val="Light List - Accent 112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2">
    <w:name w:val="Light Grid - Accent 132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2">
    <w:name w:val="Medium Grid 1 - Accent 32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2">
    <w:name w:val="Grid Table 4 Accent 3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7">
    <w:name w:val="No List327"/>
    <w:next w:val="NoList"/>
    <w:uiPriority w:val="99"/>
    <w:unhideWhenUsed/>
    <w:rsid w:val="00C64FC7"/>
  </w:style>
  <w:style w:type="table" w:customStyle="1" w:styleId="MediumGrid1-Accent1322">
    <w:name w:val="Medium Grid 1 - Accent 13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2">
    <w:name w:val="Light Grid - Accent 113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2">
    <w:name w:val="Light Grid - Accent 53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2">
    <w:name w:val="Light Grid - Accent 12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2">
    <w:name w:val="Light List - Accent 53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2">
    <w:name w:val="Light List - Accent 113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2">
    <w:name w:val="Light Grid - Accent 133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2">
    <w:name w:val="Medium Grid 1 - Accent 33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2">
    <w:name w:val="Grid Table 4 Accent 32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2">
    <w:name w:val="Table Grid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7">
    <w:name w:val="Table Grid217"/>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7">
    <w:name w:val="No List67"/>
    <w:next w:val="NoList"/>
    <w:uiPriority w:val="99"/>
    <w:unhideWhenUsed/>
    <w:rsid w:val="00C64FC7"/>
  </w:style>
  <w:style w:type="table" w:customStyle="1" w:styleId="MediumGrid1-Accent167">
    <w:name w:val="Medium Grid 1 - Accent 167"/>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7">
    <w:name w:val="Light Grid - Accent 1167"/>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7">
    <w:name w:val="Light Grid - Accent 567"/>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7">
    <w:name w:val="Light Grid - Accent 12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7">
    <w:name w:val="Light List - Accent 567"/>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7">
    <w:name w:val="Light List - Accent 1167"/>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7">
    <w:name w:val="Light Grid - Accent 1367"/>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7">
    <w:name w:val="Medium Grid 1 - Accent 367"/>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7">
    <w:name w:val="No List137"/>
    <w:next w:val="NoList"/>
    <w:uiPriority w:val="99"/>
    <w:unhideWhenUsed/>
    <w:rsid w:val="00C64FC7"/>
  </w:style>
  <w:style w:type="numbering" w:customStyle="1" w:styleId="NoList237">
    <w:name w:val="No List237"/>
    <w:next w:val="NoList"/>
    <w:uiPriority w:val="99"/>
    <w:unhideWhenUsed/>
    <w:rsid w:val="00C64FC7"/>
  </w:style>
  <w:style w:type="numbering" w:customStyle="1" w:styleId="NoList337">
    <w:name w:val="No List337"/>
    <w:next w:val="NoList"/>
    <w:uiPriority w:val="99"/>
    <w:unhideWhenUsed/>
    <w:rsid w:val="00C64FC7"/>
  </w:style>
  <w:style w:type="numbering" w:customStyle="1" w:styleId="NoList72">
    <w:name w:val="No List72"/>
    <w:next w:val="NoList"/>
    <w:uiPriority w:val="99"/>
    <w:unhideWhenUsed/>
    <w:rsid w:val="00C64FC7"/>
  </w:style>
  <w:style w:type="table" w:customStyle="1" w:styleId="TableGrid52">
    <w:name w:val="Table Grid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2">
    <w:name w:val="Medium Grid 3 - Accent 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2">
    <w:name w:val="Medium Grid 1 - Accent 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2">
    <w:name w:val="Light Grid - Accent 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2">
    <w:name w:val="Light Grid - Accent 5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2">
    <w:name w:val="Light Grid - Accent 12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2">
    <w:name w:val="Light List - Accent 5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2">
    <w:name w:val="Light List - Accent 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2">
    <w:name w:val="Light Grid - Accent 1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2">
    <w:name w:val="Medium Grid 1 - Accent 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2">
    <w:name w:val="No List142"/>
    <w:next w:val="NoList"/>
    <w:uiPriority w:val="99"/>
    <w:unhideWhenUsed/>
    <w:rsid w:val="00C64FC7"/>
  </w:style>
  <w:style w:type="table" w:customStyle="1" w:styleId="MediumGrid1-Accent1132">
    <w:name w:val="Medium Grid 1 - Accent 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2">
    <w:name w:val="Light Grid - Accent 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2">
    <w:name w:val="Light Grid - Accent 5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2">
    <w:name w:val="Light Grid - Accent 1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2">
    <w:name w:val="Light List - Accent 5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2">
    <w:name w:val="Light List - Accent 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2">
    <w:name w:val="Light Grid - Accent 1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2">
    <w:name w:val="Medium Grid 1 - Accent 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2">
    <w:name w:val="Grid Table 4 -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2">
    <w:name w:val="No List242"/>
    <w:next w:val="NoList"/>
    <w:uiPriority w:val="99"/>
    <w:unhideWhenUsed/>
    <w:rsid w:val="00C64FC7"/>
  </w:style>
  <w:style w:type="table" w:customStyle="1" w:styleId="MediumGrid1-Accent1232">
    <w:name w:val="Medium Grid 1 - Accent 12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2">
    <w:name w:val="Light Grid - Accent 112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2">
    <w:name w:val="Light Grid - Accent 52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2">
    <w:name w:val="Light Grid - Accent 12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2">
    <w:name w:val="Light List - Accent 52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2">
    <w:name w:val="Light List - Accent 112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2">
    <w:name w:val="Light Grid - Accent 132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2">
    <w:name w:val="Medium Grid 1 - Accent 32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2">
    <w:name w:val="Grid Table 4 Accent 3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2">
    <w:name w:val="No List342"/>
    <w:next w:val="NoList"/>
    <w:uiPriority w:val="99"/>
    <w:unhideWhenUsed/>
    <w:rsid w:val="00C64FC7"/>
  </w:style>
  <w:style w:type="table" w:customStyle="1" w:styleId="MediumGrid1-Accent1332">
    <w:name w:val="Medium Grid 1 - Accent 13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2">
    <w:name w:val="Light Grid - Accent 113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2">
    <w:name w:val="Light Grid - Accent 53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2">
    <w:name w:val="Light Grid - Accent 12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2">
    <w:name w:val="Light List - Accent 53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2">
    <w:name w:val="Light List - Accent 113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2">
    <w:name w:val="Light Grid - Accent 133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2">
    <w:name w:val="Medium Grid 1 - Accent 33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2">
    <w:name w:val="Grid Table 4 Accent 32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2">
    <w:name w:val="Table Grid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2">
    <w:name w:val="No List412"/>
    <w:next w:val="NoList"/>
    <w:uiPriority w:val="99"/>
    <w:unhideWhenUsed/>
    <w:rsid w:val="00C64FC7"/>
  </w:style>
  <w:style w:type="table" w:customStyle="1" w:styleId="MediumGrid1-Accent1412">
    <w:name w:val="Medium Grid 1 - Accent 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2">
    <w:name w:val="Light Grid - Accent 1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2">
    <w:name w:val="Light Grid - Accent 5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2">
    <w:name w:val="Light Grid - Accent 1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2">
    <w:name w:val="Light List - Accent 5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2">
    <w:name w:val="Light List - Accent 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2">
    <w:name w:val="Light Grid - Accent 1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2">
    <w:name w:val="Medium Grid 1 - Accent 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2">
    <w:name w:val="Table Grid2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2">
    <w:name w:val="Medium Grid 3 - Accent 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2">
    <w:name w:val="No List1112"/>
    <w:next w:val="NoList"/>
    <w:uiPriority w:val="99"/>
    <w:unhideWhenUsed/>
    <w:rsid w:val="00C64FC7"/>
  </w:style>
  <w:style w:type="table" w:customStyle="1" w:styleId="MediumGrid1-Accent11112">
    <w:name w:val="Medium Grid 1 - Accent 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2">
    <w:name w:val="Light Grid - Accent 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2">
    <w:name w:val="Light Grid - Accent 5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2">
    <w:name w:val="Light Grid - Accent 1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2">
    <w:name w:val="Light List - Accent 5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2">
    <w:name w:val="Light List - Accent 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2">
    <w:name w:val="Light Grid - Accent 1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2">
    <w:name w:val="Medium Grid 1 - Accent 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2">
    <w:name w:val="Grid Table 4 -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2">
    <w:name w:val="No List2112"/>
    <w:next w:val="NoList"/>
    <w:uiPriority w:val="99"/>
    <w:unhideWhenUsed/>
    <w:rsid w:val="00C64FC7"/>
  </w:style>
  <w:style w:type="table" w:customStyle="1" w:styleId="MediumGrid1-Accent12112">
    <w:name w:val="Medium Grid 1 - Accent 12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2">
    <w:name w:val="Light Grid - Accent 112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2">
    <w:name w:val="Light Grid - Accent 52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2">
    <w:name w:val="Light Grid - Accent 12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2">
    <w:name w:val="Light List - Accent 52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2">
    <w:name w:val="Light List - Accent 112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2">
    <w:name w:val="Light Grid - Accent 132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2">
    <w:name w:val="Medium Grid 1 - Accent 32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2">
    <w:name w:val="Grid Table 4 Accent 3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2">
    <w:name w:val="No List3112"/>
    <w:next w:val="NoList"/>
    <w:uiPriority w:val="99"/>
    <w:unhideWhenUsed/>
    <w:rsid w:val="00C64FC7"/>
  </w:style>
  <w:style w:type="table" w:customStyle="1" w:styleId="MediumGrid1-Accent13112">
    <w:name w:val="Medium Grid 1 - Accent 13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2">
    <w:name w:val="Light Grid - Accent 113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2">
    <w:name w:val="Light Grid - Accent 53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2">
    <w:name w:val="Light Grid - Accent 12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2">
    <w:name w:val="Light List - Accent 53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2">
    <w:name w:val="Light List - Accent 113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2">
    <w:name w:val="Light Grid - Accent 133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2">
    <w:name w:val="Medium Grid 1 - Accent 33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2">
    <w:name w:val="Grid Table 4 Accent 32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2">
    <w:name w:val="Table Grid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2">
    <w:name w:val="No List512"/>
    <w:next w:val="NoList"/>
    <w:uiPriority w:val="99"/>
    <w:unhideWhenUsed/>
    <w:rsid w:val="00C64FC7"/>
  </w:style>
  <w:style w:type="table" w:customStyle="1" w:styleId="MediumGrid1-Accent1512">
    <w:name w:val="Medium Grid 1 - Accent 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2">
    <w:name w:val="Light Grid - Accent 11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2">
    <w:name w:val="Light Grid - Accent 5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2">
    <w:name w:val="Light Grid - Accent 1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2">
    <w:name w:val="Light List - Accent 5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2">
    <w:name w:val="Light List - Accent 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2">
    <w:name w:val="Light Grid - Accent 1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2">
    <w:name w:val="Medium Grid 1 - Accent 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2">
    <w:name w:val="No List1212"/>
    <w:next w:val="NoList"/>
    <w:uiPriority w:val="99"/>
    <w:unhideWhenUsed/>
    <w:rsid w:val="00C64FC7"/>
  </w:style>
  <w:style w:type="numbering" w:customStyle="1" w:styleId="NoList2212">
    <w:name w:val="No List2212"/>
    <w:next w:val="NoList"/>
    <w:uiPriority w:val="99"/>
    <w:unhideWhenUsed/>
    <w:rsid w:val="00C64FC7"/>
  </w:style>
  <w:style w:type="numbering" w:customStyle="1" w:styleId="NoList3212">
    <w:name w:val="No List3212"/>
    <w:next w:val="NoList"/>
    <w:uiPriority w:val="99"/>
    <w:unhideWhenUsed/>
    <w:rsid w:val="00C64FC7"/>
  </w:style>
  <w:style w:type="numbering" w:customStyle="1" w:styleId="NoList612">
    <w:name w:val="No List612"/>
    <w:next w:val="NoList"/>
    <w:uiPriority w:val="99"/>
    <w:unhideWhenUsed/>
    <w:rsid w:val="00C64FC7"/>
  </w:style>
  <w:style w:type="table" w:customStyle="1" w:styleId="MediumGrid1-Accent1612">
    <w:name w:val="Medium Grid 1 - Accent 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2">
    <w:name w:val="Light Grid - Accent 11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2">
    <w:name w:val="Light Grid - Accent 5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2">
    <w:name w:val="Light Grid - Accent 1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2">
    <w:name w:val="Light List - Accent 5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2">
    <w:name w:val="Light List - Accent 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2">
    <w:name w:val="Light Grid - Accent 1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2">
    <w:name w:val="Medium Grid 1 - Accent 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2">
    <w:name w:val="No List1312"/>
    <w:next w:val="NoList"/>
    <w:uiPriority w:val="99"/>
    <w:unhideWhenUsed/>
    <w:rsid w:val="00C64FC7"/>
  </w:style>
  <w:style w:type="numbering" w:customStyle="1" w:styleId="NoList2312">
    <w:name w:val="No List2312"/>
    <w:next w:val="NoList"/>
    <w:uiPriority w:val="99"/>
    <w:unhideWhenUsed/>
    <w:rsid w:val="00C64FC7"/>
  </w:style>
  <w:style w:type="numbering" w:customStyle="1" w:styleId="NoList3312">
    <w:name w:val="No List3312"/>
    <w:next w:val="NoList"/>
    <w:uiPriority w:val="99"/>
    <w:unhideWhenUsed/>
    <w:rsid w:val="00C64FC7"/>
  </w:style>
  <w:style w:type="numbering" w:customStyle="1" w:styleId="NoList82">
    <w:name w:val="No List82"/>
    <w:next w:val="NoList"/>
    <w:uiPriority w:val="99"/>
    <w:unhideWhenUsed/>
    <w:rsid w:val="00C64FC7"/>
  </w:style>
  <w:style w:type="table" w:customStyle="1" w:styleId="TableGrid62">
    <w:name w:val="Table Grid6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2">
    <w:name w:val="Medium Grid 3 - Accent 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2">
    <w:name w:val="Medium Grid 1 - Accent 18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2">
    <w:name w:val="Light Grid - Accent 118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2">
    <w:name w:val="Light Grid - Accent 58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2">
    <w:name w:val="Light Grid - Accent 128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2">
    <w:name w:val="Light List - Accent 58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2">
    <w:name w:val="Light List - Accent 118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2">
    <w:name w:val="Light Grid - Accent 1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2">
    <w:name w:val="Medium Grid 1 - Accent 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2">
    <w:name w:val="No List152"/>
    <w:next w:val="NoList"/>
    <w:uiPriority w:val="99"/>
    <w:unhideWhenUsed/>
    <w:rsid w:val="00C64FC7"/>
  </w:style>
  <w:style w:type="table" w:customStyle="1" w:styleId="MediumGrid1-Accent1142">
    <w:name w:val="Medium Grid 1 - Accent 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2">
    <w:name w:val="Light Grid - Accent 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2">
    <w:name w:val="Light Grid - Accent 5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2">
    <w:name w:val="Light Grid - Accent 1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2">
    <w:name w:val="Light List - Accent 5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2">
    <w:name w:val="Light List - Accent 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2">
    <w:name w:val="Light Grid - Accent 1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2">
    <w:name w:val="Medium Grid 1 - Accent 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2">
    <w:name w:val="Grid Table 4 -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2">
    <w:name w:val="No List252"/>
    <w:next w:val="NoList"/>
    <w:uiPriority w:val="99"/>
    <w:unhideWhenUsed/>
    <w:rsid w:val="00C64FC7"/>
  </w:style>
  <w:style w:type="table" w:customStyle="1" w:styleId="MediumGrid1-Accent1242">
    <w:name w:val="Medium Grid 1 - Accent 12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2">
    <w:name w:val="Light Grid - Accent 112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2">
    <w:name w:val="Light Grid - Accent 52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2">
    <w:name w:val="Light Grid - Accent 12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2">
    <w:name w:val="Light List - Accent 52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2">
    <w:name w:val="Light List - Accent 112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2">
    <w:name w:val="Light Grid - Accent 132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2">
    <w:name w:val="Medium Grid 1 - Accent 32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2">
    <w:name w:val="Grid Table 4 Accent 3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2">
    <w:name w:val="No List352"/>
    <w:next w:val="NoList"/>
    <w:uiPriority w:val="99"/>
    <w:unhideWhenUsed/>
    <w:rsid w:val="00C64FC7"/>
  </w:style>
  <w:style w:type="table" w:customStyle="1" w:styleId="MediumGrid1-Accent1342">
    <w:name w:val="Medium Grid 1 - Accent 13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2">
    <w:name w:val="Light Grid - Accent 113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2">
    <w:name w:val="Light Grid - Accent 53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2">
    <w:name w:val="Light Grid - Accent 12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2">
    <w:name w:val="Light List - Accent 53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2">
    <w:name w:val="Light List - Accent 113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2">
    <w:name w:val="Light Grid - Accent 133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2">
    <w:name w:val="Medium Grid 1 - Accent 33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2">
    <w:name w:val="Grid Table 4 Accent 32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2">
    <w:name w:val="Table Grid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2">
    <w:name w:val="No List422"/>
    <w:next w:val="NoList"/>
    <w:uiPriority w:val="99"/>
    <w:unhideWhenUsed/>
    <w:rsid w:val="00C64FC7"/>
  </w:style>
  <w:style w:type="table" w:customStyle="1" w:styleId="MediumGrid1-Accent1422">
    <w:name w:val="Medium Grid 1 - Accent 14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2">
    <w:name w:val="Light Grid - Accent 114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2">
    <w:name w:val="Light Grid - Accent 5422"/>
    <w:basedOn w:val="TableNormal"/>
    <w:next w:val="LightGrid-Accent5"/>
    <w:uiPriority w:val="62"/>
    <w:qFormat/>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2">
    <w:name w:val="Light Grid - Accent 12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2">
    <w:name w:val="Light List - Accent 54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2">
    <w:name w:val="Light List - Accent 114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2">
    <w:name w:val="Light Grid - Accent 134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2">
    <w:name w:val="Medium Grid 1 - Accent 34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2">
    <w:name w:val="Table Grid212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2">
    <w:name w:val="Medium Grid 3 - Accent 112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2">
    <w:name w:val="No List1122"/>
    <w:next w:val="NoList"/>
    <w:uiPriority w:val="99"/>
    <w:unhideWhenUsed/>
    <w:rsid w:val="00C64FC7"/>
  </w:style>
  <w:style w:type="table" w:customStyle="1" w:styleId="MediumGrid1-Accent11122">
    <w:name w:val="Medium Grid 1 - Accent 11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2">
    <w:name w:val="Light Grid - Accent 11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2">
    <w:name w:val="Light Grid - Accent 5112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2">
    <w:name w:val="Light Grid - Accent 12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2">
    <w:name w:val="Light List - Accent 5112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2">
    <w:name w:val="Light List - Accent 111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2">
    <w:name w:val="Light Grid - Accent 131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2">
    <w:name w:val="Medium Grid 1 - Accent 31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2">
    <w:name w:val="Grid Table 4 -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2">
    <w:name w:val="No List2122"/>
    <w:next w:val="NoList"/>
    <w:uiPriority w:val="99"/>
    <w:unhideWhenUsed/>
    <w:rsid w:val="00C64FC7"/>
  </w:style>
  <w:style w:type="table" w:customStyle="1" w:styleId="MediumGrid1-Accent12122">
    <w:name w:val="Medium Grid 1 - Accent 12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2">
    <w:name w:val="Light Grid - Accent 112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2">
    <w:name w:val="Light Grid - Accent 52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2">
    <w:name w:val="Light Grid - Accent 12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2">
    <w:name w:val="Light List - Accent 52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2">
    <w:name w:val="Light List - Accent 112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2">
    <w:name w:val="Light Grid - Accent 132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2">
    <w:name w:val="Medium Grid 1 - Accent 32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2">
    <w:name w:val="Grid Table 4 Accent 31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2">
    <w:name w:val="No List3122"/>
    <w:next w:val="NoList"/>
    <w:uiPriority w:val="99"/>
    <w:unhideWhenUsed/>
    <w:rsid w:val="00C64FC7"/>
  </w:style>
  <w:style w:type="table" w:customStyle="1" w:styleId="MediumGrid1-Accent13122">
    <w:name w:val="Medium Grid 1 - Accent 131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2">
    <w:name w:val="Light Grid - Accent 1131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2">
    <w:name w:val="Light Grid - Accent 531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2">
    <w:name w:val="Light Grid - Accent 12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2">
    <w:name w:val="Light List - Accent 531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2">
    <w:name w:val="Light List - Accent 1131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2">
    <w:name w:val="Light Grid - Accent 1331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2">
    <w:name w:val="Medium Grid 1 - Accent 331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2">
    <w:name w:val="Grid Table 4 Accent 3212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2">
    <w:name w:val="Table Grid112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2">
    <w:name w:val="No List522"/>
    <w:next w:val="NoList"/>
    <w:uiPriority w:val="99"/>
    <w:unhideWhenUsed/>
    <w:rsid w:val="00C64FC7"/>
  </w:style>
  <w:style w:type="table" w:customStyle="1" w:styleId="MediumGrid1-Accent1522">
    <w:name w:val="Medium Grid 1 - Accent 15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2">
    <w:name w:val="Light Grid - Accent 115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2">
    <w:name w:val="Light Grid - Accent 55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2">
    <w:name w:val="Light Grid - Accent 12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2">
    <w:name w:val="Light List - Accent 55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2">
    <w:name w:val="Light List - Accent 115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2">
    <w:name w:val="Light Grid - Accent 135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2">
    <w:name w:val="Medium Grid 1 - Accent 35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2">
    <w:name w:val="No List1222"/>
    <w:next w:val="NoList"/>
    <w:uiPriority w:val="99"/>
    <w:unhideWhenUsed/>
    <w:rsid w:val="00C64FC7"/>
  </w:style>
  <w:style w:type="numbering" w:customStyle="1" w:styleId="NoList2222">
    <w:name w:val="No List2222"/>
    <w:next w:val="NoList"/>
    <w:uiPriority w:val="99"/>
    <w:unhideWhenUsed/>
    <w:rsid w:val="00C64FC7"/>
  </w:style>
  <w:style w:type="numbering" w:customStyle="1" w:styleId="NoList3222">
    <w:name w:val="No List3222"/>
    <w:next w:val="NoList"/>
    <w:uiPriority w:val="99"/>
    <w:unhideWhenUsed/>
    <w:rsid w:val="00C64FC7"/>
  </w:style>
  <w:style w:type="numbering" w:customStyle="1" w:styleId="NoList622">
    <w:name w:val="No List622"/>
    <w:next w:val="NoList"/>
    <w:uiPriority w:val="99"/>
    <w:unhideWhenUsed/>
    <w:rsid w:val="00C64FC7"/>
  </w:style>
  <w:style w:type="table" w:customStyle="1" w:styleId="MediumGrid1-Accent1622">
    <w:name w:val="Medium Grid 1 - Accent 162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2">
    <w:name w:val="Light Grid - Accent 1162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2">
    <w:name w:val="Light Grid - Accent 562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2">
    <w:name w:val="Light Grid - Accent 12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2">
    <w:name w:val="Light List - Accent 562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2">
    <w:name w:val="Light List - Accent 1162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2">
    <w:name w:val="Light Grid - Accent 1362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2">
    <w:name w:val="Medium Grid 1 - Accent 362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2">
    <w:name w:val="No List1322"/>
    <w:next w:val="NoList"/>
    <w:uiPriority w:val="99"/>
    <w:unhideWhenUsed/>
    <w:rsid w:val="00C64FC7"/>
  </w:style>
  <w:style w:type="numbering" w:customStyle="1" w:styleId="NoList2322">
    <w:name w:val="No List2322"/>
    <w:next w:val="NoList"/>
    <w:uiPriority w:val="99"/>
    <w:unhideWhenUsed/>
    <w:rsid w:val="00C64FC7"/>
  </w:style>
  <w:style w:type="numbering" w:customStyle="1" w:styleId="NoList3322">
    <w:name w:val="No List3322"/>
    <w:next w:val="NoList"/>
    <w:uiPriority w:val="99"/>
    <w:unhideWhenUsed/>
    <w:rsid w:val="00C64FC7"/>
  </w:style>
  <w:style w:type="numbering" w:customStyle="1" w:styleId="NoList92">
    <w:name w:val="No List92"/>
    <w:next w:val="NoList"/>
    <w:uiPriority w:val="99"/>
    <w:unhideWhenUsed/>
    <w:rsid w:val="00C64FC7"/>
  </w:style>
  <w:style w:type="table" w:customStyle="1" w:styleId="TableGrid72">
    <w:name w:val="Table Grid7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2">
    <w:name w:val="Medium Grid 3 - Accent 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2">
    <w:name w:val="Medium Grid 1 - Accent 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2">
    <w:name w:val="Light Grid - Accent 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2">
    <w:name w:val="Light Grid - Accent 5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2">
    <w:name w:val="Light Grid - Accent 12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2">
    <w:name w:val="Light List - Accent 5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2">
    <w:name w:val="Light List - Accent 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2">
    <w:name w:val="Light Grid - Accent 13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2">
    <w:name w:val="Medium Grid 1 - Accent 3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2">
    <w:name w:val="No List162"/>
    <w:next w:val="NoList"/>
    <w:uiPriority w:val="99"/>
    <w:unhideWhenUsed/>
    <w:rsid w:val="00C64FC7"/>
  </w:style>
  <w:style w:type="table" w:customStyle="1" w:styleId="MediumGrid1-Accent1152">
    <w:name w:val="Medium Grid 1 - Accent 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2">
    <w:name w:val="Light Grid - Accent 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2">
    <w:name w:val="Light Grid - Accent 5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2">
    <w:name w:val="Light Grid - Accent 1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2">
    <w:name w:val="Light List - Accent 5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2">
    <w:name w:val="Light List - Accent 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2">
    <w:name w:val="Light Grid - Accent 1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2">
    <w:name w:val="Medium Grid 1 - Accent 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2">
    <w:name w:val="Grid Table 4 -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2">
    <w:name w:val="No List262"/>
    <w:next w:val="NoList"/>
    <w:uiPriority w:val="99"/>
    <w:unhideWhenUsed/>
    <w:rsid w:val="00C64FC7"/>
  </w:style>
  <w:style w:type="table" w:customStyle="1" w:styleId="MediumGrid1-Accent1252">
    <w:name w:val="Medium Grid 1 - Accent 12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2">
    <w:name w:val="Light Grid - Accent 112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2">
    <w:name w:val="Light Grid - Accent 52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2">
    <w:name w:val="Light Grid - Accent 12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2">
    <w:name w:val="Light List - Accent 52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2">
    <w:name w:val="Light List - Accent 112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2">
    <w:name w:val="Light Grid - Accent 132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2">
    <w:name w:val="Medium Grid 1 - Accent 32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2">
    <w:name w:val="Grid Table 4 Accent 3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2">
    <w:name w:val="No List362"/>
    <w:next w:val="NoList"/>
    <w:uiPriority w:val="99"/>
    <w:unhideWhenUsed/>
    <w:rsid w:val="00C64FC7"/>
  </w:style>
  <w:style w:type="table" w:customStyle="1" w:styleId="MediumGrid1-Accent1352">
    <w:name w:val="Medium Grid 1 - Accent 13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2">
    <w:name w:val="Light Grid - Accent 113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2">
    <w:name w:val="Light Grid - Accent 53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2">
    <w:name w:val="Light Grid - Accent 12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2">
    <w:name w:val="Light List - Accent 53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2">
    <w:name w:val="Light List - Accent 113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2">
    <w:name w:val="Light Grid - Accent 133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2">
    <w:name w:val="Medium Grid 1 - Accent 33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2">
    <w:name w:val="Grid Table 4 Accent 32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2">
    <w:name w:val="Table Grid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2">
    <w:name w:val="No List432"/>
    <w:next w:val="NoList"/>
    <w:uiPriority w:val="99"/>
    <w:unhideWhenUsed/>
    <w:rsid w:val="00C64FC7"/>
  </w:style>
  <w:style w:type="table" w:customStyle="1" w:styleId="MediumGrid1-Accent1432">
    <w:name w:val="Medium Grid 1 - Accent 14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2">
    <w:name w:val="Light Grid - Accent 114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2">
    <w:name w:val="Light Grid - Accent 54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2">
    <w:name w:val="Light Grid - Accent 12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2">
    <w:name w:val="Light List - Accent 54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2">
    <w:name w:val="Light List - Accent 114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2">
    <w:name w:val="Light Grid - Accent 134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2">
    <w:name w:val="Medium Grid 1 - Accent 34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2">
    <w:name w:val="Table Grid213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2">
    <w:name w:val="Medium Grid 3 - Accent 113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2">
    <w:name w:val="No List1132"/>
    <w:next w:val="NoList"/>
    <w:uiPriority w:val="99"/>
    <w:unhideWhenUsed/>
    <w:rsid w:val="00C64FC7"/>
  </w:style>
  <w:style w:type="table" w:customStyle="1" w:styleId="MediumGrid1-Accent11132">
    <w:name w:val="Medium Grid 1 - Accent 11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2">
    <w:name w:val="Light Grid - Accent 11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2">
    <w:name w:val="Light Grid - Accent 5113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2">
    <w:name w:val="Light Grid - Accent 12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2">
    <w:name w:val="Light List - Accent 5113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2">
    <w:name w:val="Light List - Accent 111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2">
    <w:name w:val="Light Grid - Accent 131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2">
    <w:name w:val="Medium Grid 1 - Accent 31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2">
    <w:name w:val="Grid Table 4 -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2">
    <w:name w:val="No List2132"/>
    <w:next w:val="NoList"/>
    <w:uiPriority w:val="99"/>
    <w:unhideWhenUsed/>
    <w:rsid w:val="00C64FC7"/>
  </w:style>
  <w:style w:type="table" w:customStyle="1" w:styleId="MediumGrid1-Accent12132">
    <w:name w:val="Medium Grid 1 - Accent 12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2">
    <w:name w:val="Light Grid - Accent 112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2">
    <w:name w:val="Light Grid - Accent 52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2">
    <w:name w:val="Light Grid - Accent 12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2">
    <w:name w:val="Light List - Accent 52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2">
    <w:name w:val="Light List - Accent 112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2">
    <w:name w:val="Light Grid - Accent 132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2">
    <w:name w:val="Medium Grid 1 - Accent 32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2">
    <w:name w:val="Grid Table 4 Accent 31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2">
    <w:name w:val="No List3132"/>
    <w:next w:val="NoList"/>
    <w:uiPriority w:val="99"/>
    <w:unhideWhenUsed/>
    <w:rsid w:val="00C64FC7"/>
  </w:style>
  <w:style w:type="table" w:customStyle="1" w:styleId="MediumGrid1-Accent13132">
    <w:name w:val="Medium Grid 1 - Accent 131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2">
    <w:name w:val="Light Grid - Accent 1131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2">
    <w:name w:val="Light Grid - Accent 531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2">
    <w:name w:val="Light Grid - Accent 12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2">
    <w:name w:val="Light List - Accent 531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2">
    <w:name w:val="Light List - Accent 1131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2">
    <w:name w:val="Light Grid - Accent 1331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2">
    <w:name w:val="Medium Grid 1 - Accent 331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2">
    <w:name w:val="Grid Table 4 Accent 3213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2">
    <w:name w:val="Table Grid113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2">
    <w:name w:val="No List532"/>
    <w:next w:val="NoList"/>
    <w:uiPriority w:val="99"/>
    <w:unhideWhenUsed/>
    <w:rsid w:val="00C64FC7"/>
  </w:style>
  <w:style w:type="table" w:customStyle="1" w:styleId="MediumGrid1-Accent1532">
    <w:name w:val="Medium Grid 1 - Accent 15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2">
    <w:name w:val="Light Grid - Accent 115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2">
    <w:name w:val="Light Grid - Accent 55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2">
    <w:name w:val="Light Grid - Accent 12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2">
    <w:name w:val="Light List - Accent 55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2">
    <w:name w:val="Light List - Accent 115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2">
    <w:name w:val="Light Grid - Accent 135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2">
    <w:name w:val="Medium Grid 1 - Accent 35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2">
    <w:name w:val="No List1232"/>
    <w:next w:val="NoList"/>
    <w:uiPriority w:val="99"/>
    <w:unhideWhenUsed/>
    <w:rsid w:val="00C64FC7"/>
  </w:style>
  <w:style w:type="numbering" w:customStyle="1" w:styleId="NoList2232">
    <w:name w:val="No List2232"/>
    <w:next w:val="NoList"/>
    <w:uiPriority w:val="99"/>
    <w:unhideWhenUsed/>
    <w:rsid w:val="00C64FC7"/>
  </w:style>
  <w:style w:type="numbering" w:customStyle="1" w:styleId="NoList3232">
    <w:name w:val="No List3232"/>
    <w:next w:val="NoList"/>
    <w:uiPriority w:val="99"/>
    <w:unhideWhenUsed/>
    <w:rsid w:val="00C64FC7"/>
  </w:style>
  <w:style w:type="numbering" w:customStyle="1" w:styleId="NoList632">
    <w:name w:val="No List632"/>
    <w:next w:val="NoList"/>
    <w:uiPriority w:val="99"/>
    <w:unhideWhenUsed/>
    <w:rsid w:val="00C64FC7"/>
  </w:style>
  <w:style w:type="table" w:customStyle="1" w:styleId="MediumGrid1-Accent1632">
    <w:name w:val="Medium Grid 1 - Accent 163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2">
    <w:name w:val="Light Grid - Accent 1163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2">
    <w:name w:val="Light Grid - Accent 563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2">
    <w:name w:val="Light Grid - Accent 12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2">
    <w:name w:val="Light List - Accent 563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2">
    <w:name w:val="Light List - Accent 1163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2">
    <w:name w:val="Light Grid - Accent 1363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2">
    <w:name w:val="Medium Grid 1 - Accent 363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2">
    <w:name w:val="No List1332"/>
    <w:next w:val="NoList"/>
    <w:uiPriority w:val="99"/>
    <w:unhideWhenUsed/>
    <w:rsid w:val="00C64FC7"/>
  </w:style>
  <w:style w:type="numbering" w:customStyle="1" w:styleId="NoList2332">
    <w:name w:val="No List2332"/>
    <w:next w:val="NoList"/>
    <w:uiPriority w:val="99"/>
    <w:unhideWhenUsed/>
    <w:rsid w:val="00C64FC7"/>
  </w:style>
  <w:style w:type="numbering" w:customStyle="1" w:styleId="NoList3332">
    <w:name w:val="No List3332"/>
    <w:next w:val="NoList"/>
    <w:uiPriority w:val="99"/>
    <w:unhideWhenUsed/>
    <w:rsid w:val="00C64FC7"/>
  </w:style>
  <w:style w:type="numbering" w:customStyle="1" w:styleId="NoList102">
    <w:name w:val="No List102"/>
    <w:next w:val="NoList"/>
    <w:uiPriority w:val="99"/>
    <w:unhideWhenUsed/>
    <w:rsid w:val="00C64FC7"/>
  </w:style>
  <w:style w:type="table" w:customStyle="1" w:styleId="TableGrid82">
    <w:name w:val="Table Grid8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2">
    <w:name w:val="Medium Grid 3 - Accent 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2">
    <w:name w:val="Medium Grid 1 - Accent 110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2">
    <w:name w:val="Light Grid - Accent 1110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2">
    <w:name w:val="Light Grid - Accent 510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2">
    <w:name w:val="Light Grid - Accent 1210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2">
    <w:name w:val="Light List - Accent 510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2">
    <w:name w:val="Light List - Accent 1110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2">
    <w:name w:val="Light Grid - Accent 13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2">
    <w:name w:val="Medium Grid 1 - Accent 3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2">
    <w:name w:val="No List172"/>
    <w:next w:val="NoList"/>
    <w:uiPriority w:val="99"/>
    <w:unhideWhenUsed/>
    <w:rsid w:val="00C64FC7"/>
  </w:style>
  <w:style w:type="table" w:customStyle="1" w:styleId="MediumGrid1-Accent1162">
    <w:name w:val="Medium Grid 1 - Accent 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2">
    <w:name w:val="Light Grid - Accent 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2">
    <w:name w:val="Light Grid - Accent 5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2">
    <w:name w:val="Light Grid - Accent 1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2">
    <w:name w:val="Light List - Accent 5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2">
    <w:name w:val="Light List - Accent 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2">
    <w:name w:val="Light Grid - Accent 1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2">
    <w:name w:val="Medium Grid 1 - Accent 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2">
    <w:name w:val="Grid Table 4 -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2">
    <w:name w:val="No List272"/>
    <w:next w:val="NoList"/>
    <w:uiPriority w:val="99"/>
    <w:unhideWhenUsed/>
    <w:rsid w:val="00C64FC7"/>
  </w:style>
  <w:style w:type="table" w:customStyle="1" w:styleId="MediumGrid1-Accent1262">
    <w:name w:val="Medium Grid 1 - Accent 12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2">
    <w:name w:val="Light Grid - Accent 112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2">
    <w:name w:val="Light Grid - Accent 52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2">
    <w:name w:val="Light Grid - Accent 12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2">
    <w:name w:val="Light List - Accent 52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2">
    <w:name w:val="Light List - Accent 112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2">
    <w:name w:val="Light Grid - Accent 132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2">
    <w:name w:val="Medium Grid 1 - Accent 32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2">
    <w:name w:val="Grid Table 4 Accent 3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2">
    <w:name w:val="No List372"/>
    <w:next w:val="NoList"/>
    <w:uiPriority w:val="99"/>
    <w:unhideWhenUsed/>
    <w:rsid w:val="00C64FC7"/>
  </w:style>
  <w:style w:type="table" w:customStyle="1" w:styleId="MediumGrid1-Accent1362">
    <w:name w:val="Medium Grid 1 - Accent 13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2">
    <w:name w:val="Light Grid - Accent 113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2">
    <w:name w:val="Light Grid - Accent 53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2">
    <w:name w:val="Light Grid - Accent 12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2">
    <w:name w:val="Light List - Accent 53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2">
    <w:name w:val="Light List - Accent 113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2">
    <w:name w:val="Light Grid - Accent 133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2">
    <w:name w:val="Medium Grid 1 - Accent 33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2">
    <w:name w:val="Grid Table 4 Accent 32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2">
    <w:name w:val="Table Grid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2">
    <w:name w:val="No List442"/>
    <w:next w:val="NoList"/>
    <w:uiPriority w:val="99"/>
    <w:unhideWhenUsed/>
    <w:rsid w:val="00C64FC7"/>
  </w:style>
  <w:style w:type="table" w:customStyle="1" w:styleId="MediumGrid1-Accent1442">
    <w:name w:val="Medium Grid 1 - Accent 14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2">
    <w:name w:val="Light Grid - Accent 114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2">
    <w:name w:val="Light Grid - Accent 54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2">
    <w:name w:val="Light Grid - Accent 12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2">
    <w:name w:val="Light List - Accent 54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2">
    <w:name w:val="Light List - Accent 114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2">
    <w:name w:val="Light Grid - Accent 134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2">
    <w:name w:val="Medium Grid 1 - Accent 34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2">
    <w:name w:val="Table Grid214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2">
    <w:name w:val="Medium Grid 3 - Accent 114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2">
    <w:name w:val="No List1142"/>
    <w:next w:val="NoList"/>
    <w:uiPriority w:val="99"/>
    <w:unhideWhenUsed/>
    <w:rsid w:val="00C64FC7"/>
  </w:style>
  <w:style w:type="table" w:customStyle="1" w:styleId="MediumGrid1-Accent11142">
    <w:name w:val="Medium Grid 1 - Accent 11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2">
    <w:name w:val="Light Grid - Accent 11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2">
    <w:name w:val="Light Grid - Accent 5114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2">
    <w:name w:val="Light Grid - Accent 12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2">
    <w:name w:val="Light List - Accent 5114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2">
    <w:name w:val="Light List - Accent 111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2">
    <w:name w:val="Light Grid - Accent 131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2">
    <w:name w:val="Medium Grid 1 - Accent 31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2">
    <w:name w:val="Grid Table 4 -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2">
    <w:name w:val="No List2142"/>
    <w:next w:val="NoList"/>
    <w:uiPriority w:val="99"/>
    <w:unhideWhenUsed/>
    <w:rsid w:val="00C64FC7"/>
  </w:style>
  <w:style w:type="table" w:customStyle="1" w:styleId="MediumGrid1-Accent12142">
    <w:name w:val="Medium Grid 1 - Accent 12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2">
    <w:name w:val="Light Grid - Accent 112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2">
    <w:name w:val="Light Grid - Accent 52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2">
    <w:name w:val="Light Grid - Accent 12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2">
    <w:name w:val="Light List - Accent 52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2">
    <w:name w:val="Light List - Accent 112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2">
    <w:name w:val="Light Grid - Accent 132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2">
    <w:name w:val="Medium Grid 1 - Accent 32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2">
    <w:name w:val="Grid Table 4 Accent 31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2">
    <w:name w:val="No List3142"/>
    <w:next w:val="NoList"/>
    <w:uiPriority w:val="99"/>
    <w:unhideWhenUsed/>
    <w:rsid w:val="00C64FC7"/>
  </w:style>
  <w:style w:type="table" w:customStyle="1" w:styleId="MediumGrid1-Accent13142">
    <w:name w:val="Medium Grid 1 - Accent 131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2">
    <w:name w:val="Light Grid - Accent 1131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2">
    <w:name w:val="Light Grid - Accent 531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2">
    <w:name w:val="Light Grid - Accent 12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2">
    <w:name w:val="Light List - Accent 531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2">
    <w:name w:val="Light List - Accent 1131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2">
    <w:name w:val="Light Grid - Accent 1331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2">
    <w:name w:val="Medium Grid 1 - Accent 331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2">
    <w:name w:val="Grid Table 4 Accent 3214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2">
    <w:name w:val="Table Grid114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2">
    <w:name w:val="No List542"/>
    <w:next w:val="NoList"/>
    <w:uiPriority w:val="99"/>
    <w:unhideWhenUsed/>
    <w:rsid w:val="00C64FC7"/>
  </w:style>
  <w:style w:type="table" w:customStyle="1" w:styleId="MediumGrid1-Accent1542">
    <w:name w:val="Medium Grid 1 - Accent 15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2">
    <w:name w:val="Light Grid - Accent 115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2">
    <w:name w:val="Light Grid - Accent 55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2">
    <w:name w:val="Light Grid - Accent 12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2">
    <w:name w:val="Light List - Accent 55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2">
    <w:name w:val="Light List - Accent 115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2">
    <w:name w:val="Light Grid - Accent 135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2">
    <w:name w:val="Medium Grid 1 - Accent 35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2">
    <w:name w:val="No List1242"/>
    <w:next w:val="NoList"/>
    <w:uiPriority w:val="99"/>
    <w:unhideWhenUsed/>
    <w:rsid w:val="00C64FC7"/>
  </w:style>
  <w:style w:type="numbering" w:customStyle="1" w:styleId="NoList2242">
    <w:name w:val="No List2242"/>
    <w:next w:val="NoList"/>
    <w:uiPriority w:val="99"/>
    <w:unhideWhenUsed/>
    <w:rsid w:val="00C64FC7"/>
  </w:style>
  <w:style w:type="numbering" w:customStyle="1" w:styleId="NoList3242">
    <w:name w:val="No List3242"/>
    <w:next w:val="NoList"/>
    <w:uiPriority w:val="99"/>
    <w:unhideWhenUsed/>
    <w:rsid w:val="00C64FC7"/>
  </w:style>
  <w:style w:type="numbering" w:customStyle="1" w:styleId="NoList642">
    <w:name w:val="No List642"/>
    <w:next w:val="NoList"/>
    <w:uiPriority w:val="99"/>
    <w:unhideWhenUsed/>
    <w:rsid w:val="00C64FC7"/>
  </w:style>
  <w:style w:type="table" w:customStyle="1" w:styleId="MediumGrid1-Accent1642">
    <w:name w:val="Medium Grid 1 - Accent 164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2">
    <w:name w:val="Light Grid - Accent 1164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2">
    <w:name w:val="Light Grid - Accent 564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2">
    <w:name w:val="Light Grid - Accent 12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2">
    <w:name w:val="Light List - Accent 564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2">
    <w:name w:val="Light List - Accent 1164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2">
    <w:name w:val="Light Grid - Accent 1364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2">
    <w:name w:val="Medium Grid 1 - Accent 364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2">
    <w:name w:val="No List1342"/>
    <w:next w:val="NoList"/>
    <w:uiPriority w:val="99"/>
    <w:unhideWhenUsed/>
    <w:rsid w:val="00C64FC7"/>
  </w:style>
  <w:style w:type="numbering" w:customStyle="1" w:styleId="NoList2342">
    <w:name w:val="No List2342"/>
    <w:next w:val="NoList"/>
    <w:uiPriority w:val="99"/>
    <w:unhideWhenUsed/>
    <w:rsid w:val="00C64FC7"/>
  </w:style>
  <w:style w:type="numbering" w:customStyle="1" w:styleId="NoList3342">
    <w:name w:val="No List3342"/>
    <w:next w:val="NoList"/>
    <w:uiPriority w:val="99"/>
    <w:unhideWhenUsed/>
    <w:rsid w:val="00C64FC7"/>
  </w:style>
  <w:style w:type="numbering" w:customStyle="1" w:styleId="NoList182">
    <w:name w:val="No List182"/>
    <w:next w:val="NoList"/>
    <w:uiPriority w:val="99"/>
    <w:unhideWhenUsed/>
    <w:rsid w:val="00C64FC7"/>
  </w:style>
  <w:style w:type="table" w:customStyle="1" w:styleId="TableGrid92">
    <w:name w:val="Table Grid9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2">
    <w:name w:val="Medium Grid 3 - Accent 17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2">
    <w:name w:val="Medium Grid 1 - Accent 117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2">
    <w:name w:val="Light Grid - Accent 1117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2">
    <w:name w:val="Light Grid - Accent 517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2">
    <w:name w:val="Light Grid - Accent 1217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2">
    <w:name w:val="Light List - Accent 517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2">
    <w:name w:val="Light List - Accent 1117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2">
    <w:name w:val="Light Grid - Accent 131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2">
    <w:name w:val="Medium Grid 1 - Accent 31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2">
    <w:name w:val="No List192"/>
    <w:next w:val="NoList"/>
    <w:uiPriority w:val="99"/>
    <w:unhideWhenUsed/>
    <w:rsid w:val="00C64FC7"/>
  </w:style>
  <w:style w:type="table" w:customStyle="1" w:styleId="MediumGrid1-Accent1182">
    <w:name w:val="Medium Grid 1 - Accent 11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2">
    <w:name w:val="Light Grid - Accent 11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2">
    <w:name w:val="Light Grid - Accent 518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2">
    <w:name w:val="Light Grid - Accent 12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2">
    <w:name w:val="Light List - Accent 518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2">
    <w:name w:val="Light List - Accent 111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2">
    <w:name w:val="Light Grid - Accent 131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2">
    <w:name w:val="Medium Grid 1 - Accent 31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2">
    <w:name w:val="Grid Table 4 -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2">
    <w:name w:val="No List282"/>
    <w:next w:val="NoList"/>
    <w:uiPriority w:val="99"/>
    <w:unhideWhenUsed/>
    <w:rsid w:val="00C64FC7"/>
  </w:style>
  <w:style w:type="table" w:customStyle="1" w:styleId="MediumGrid1-Accent1272">
    <w:name w:val="Medium Grid 1 - Accent 12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2">
    <w:name w:val="Light Grid - Accent 112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2">
    <w:name w:val="Light Grid - Accent 52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2">
    <w:name w:val="Light Grid - Accent 12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2">
    <w:name w:val="Light List - Accent 52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2">
    <w:name w:val="Light List - Accent 112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2">
    <w:name w:val="Light Grid - Accent 132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2">
    <w:name w:val="Medium Grid 1 - Accent 32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2">
    <w:name w:val="Grid Table 4 Accent 31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2">
    <w:name w:val="No List382"/>
    <w:next w:val="NoList"/>
    <w:uiPriority w:val="99"/>
    <w:unhideWhenUsed/>
    <w:rsid w:val="00C64FC7"/>
  </w:style>
  <w:style w:type="table" w:customStyle="1" w:styleId="MediumGrid1-Accent1372">
    <w:name w:val="Medium Grid 1 - Accent 137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2">
    <w:name w:val="Light Grid - Accent 1137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2">
    <w:name w:val="Light Grid - Accent 537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2">
    <w:name w:val="Light Grid - Accent 12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2">
    <w:name w:val="Light List - Accent 537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2">
    <w:name w:val="Light List - Accent 1137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2">
    <w:name w:val="Light Grid - Accent 1337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2">
    <w:name w:val="Medium Grid 1 - Accent 337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2">
    <w:name w:val="Grid Table 4 Accent 327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2">
    <w:name w:val="Table Grid17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2">
    <w:name w:val="No List452"/>
    <w:next w:val="NoList"/>
    <w:uiPriority w:val="99"/>
    <w:unhideWhenUsed/>
    <w:rsid w:val="00C64FC7"/>
  </w:style>
  <w:style w:type="table" w:customStyle="1" w:styleId="MediumGrid1-Accent1452">
    <w:name w:val="Medium Grid 1 - Accent 14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2">
    <w:name w:val="Light Grid - Accent 114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2">
    <w:name w:val="Light Grid - Accent 54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2">
    <w:name w:val="Light Grid - Accent 12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2">
    <w:name w:val="Light List - Accent 54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2">
    <w:name w:val="Light List - Accent 114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2">
    <w:name w:val="Light Grid - Accent 134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2">
    <w:name w:val="Medium Grid 1 - Accent 34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2">
    <w:name w:val="Table Grid215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2">
    <w:name w:val="Medium Grid 3 - Accent 115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2">
    <w:name w:val="No List1152"/>
    <w:next w:val="NoList"/>
    <w:uiPriority w:val="99"/>
    <w:unhideWhenUsed/>
    <w:rsid w:val="00C64FC7"/>
  </w:style>
  <w:style w:type="table" w:customStyle="1" w:styleId="MediumGrid1-Accent11152">
    <w:name w:val="Medium Grid 1 - Accent 11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2">
    <w:name w:val="Light Grid - Accent 11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2">
    <w:name w:val="Light Grid - Accent 5115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2">
    <w:name w:val="Light Grid - Accent 12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2">
    <w:name w:val="Light List - Accent 5115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2">
    <w:name w:val="Light List - Accent 111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2">
    <w:name w:val="Light Grid - Accent 131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2">
    <w:name w:val="Medium Grid 1 - Accent 31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2">
    <w:name w:val="Grid Table 4 -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2">
    <w:name w:val="No List2152"/>
    <w:next w:val="NoList"/>
    <w:uiPriority w:val="99"/>
    <w:unhideWhenUsed/>
    <w:rsid w:val="00C64FC7"/>
  </w:style>
  <w:style w:type="table" w:customStyle="1" w:styleId="MediumGrid1-Accent12152">
    <w:name w:val="Medium Grid 1 - Accent 12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2">
    <w:name w:val="Light Grid - Accent 112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2">
    <w:name w:val="Light Grid - Accent 52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2">
    <w:name w:val="Light Grid - Accent 12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2">
    <w:name w:val="Light List - Accent 52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2">
    <w:name w:val="Light List - Accent 112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2">
    <w:name w:val="Light Grid - Accent 132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2">
    <w:name w:val="Medium Grid 1 - Accent 32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2">
    <w:name w:val="Grid Table 4 Accent 31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2">
    <w:name w:val="No List3152"/>
    <w:next w:val="NoList"/>
    <w:uiPriority w:val="99"/>
    <w:unhideWhenUsed/>
    <w:rsid w:val="00C64FC7"/>
  </w:style>
  <w:style w:type="table" w:customStyle="1" w:styleId="MediumGrid1-Accent13152">
    <w:name w:val="Medium Grid 1 - Accent 131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2">
    <w:name w:val="Light Grid - Accent 1131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2">
    <w:name w:val="Light Grid - Accent 531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2">
    <w:name w:val="Light Grid - Accent 12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2">
    <w:name w:val="Light List - Accent 531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2">
    <w:name w:val="Light List - Accent 1131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2">
    <w:name w:val="Light Grid - Accent 1331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2">
    <w:name w:val="Medium Grid 1 - Accent 331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2">
    <w:name w:val="Grid Table 4 Accent 3215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2">
    <w:name w:val="Table Grid115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2">
    <w:name w:val="No List552"/>
    <w:next w:val="NoList"/>
    <w:uiPriority w:val="99"/>
    <w:unhideWhenUsed/>
    <w:rsid w:val="00C64FC7"/>
  </w:style>
  <w:style w:type="table" w:customStyle="1" w:styleId="MediumGrid1-Accent1552">
    <w:name w:val="Medium Grid 1 - Accent 15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2">
    <w:name w:val="Light Grid - Accent 115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2">
    <w:name w:val="Light Grid - Accent 55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2">
    <w:name w:val="Light Grid - Accent 12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2">
    <w:name w:val="Light List - Accent 55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2">
    <w:name w:val="Light List - Accent 115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2">
    <w:name w:val="Light Grid - Accent 135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2">
    <w:name w:val="Medium Grid 1 - Accent 35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2">
    <w:name w:val="No List1252"/>
    <w:next w:val="NoList"/>
    <w:uiPriority w:val="99"/>
    <w:unhideWhenUsed/>
    <w:rsid w:val="00C64FC7"/>
  </w:style>
  <w:style w:type="numbering" w:customStyle="1" w:styleId="NoList2252">
    <w:name w:val="No List2252"/>
    <w:next w:val="NoList"/>
    <w:uiPriority w:val="99"/>
    <w:unhideWhenUsed/>
    <w:rsid w:val="00C64FC7"/>
  </w:style>
  <w:style w:type="numbering" w:customStyle="1" w:styleId="NoList3252">
    <w:name w:val="No List3252"/>
    <w:next w:val="NoList"/>
    <w:uiPriority w:val="99"/>
    <w:unhideWhenUsed/>
    <w:rsid w:val="00C64FC7"/>
  </w:style>
  <w:style w:type="numbering" w:customStyle="1" w:styleId="NoList652">
    <w:name w:val="No List652"/>
    <w:next w:val="NoList"/>
    <w:uiPriority w:val="99"/>
    <w:unhideWhenUsed/>
    <w:rsid w:val="00C64FC7"/>
  </w:style>
  <w:style w:type="table" w:customStyle="1" w:styleId="MediumGrid1-Accent1652">
    <w:name w:val="Medium Grid 1 - Accent 165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2">
    <w:name w:val="Light Grid - Accent 1165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2">
    <w:name w:val="Light Grid - Accent 565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2">
    <w:name w:val="Light Grid - Accent 12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2">
    <w:name w:val="Light List - Accent 565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2">
    <w:name w:val="Light List - Accent 1165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2">
    <w:name w:val="Light Grid - Accent 1365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2">
    <w:name w:val="Medium Grid 1 - Accent 365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2">
    <w:name w:val="No List1352"/>
    <w:next w:val="NoList"/>
    <w:uiPriority w:val="99"/>
    <w:unhideWhenUsed/>
    <w:rsid w:val="00C64FC7"/>
  </w:style>
  <w:style w:type="numbering" w:customStyle="1" w:styleId="NoList2352">
    <w:name w:val="No List2352"/>
    <w:next w:val="NoList"/>
    <w:uiPriority w:val="99"/>
    <w:unhideWhenUsed/>
    <w:rsid w:val="00C64FC7"/>
  </w:style>
  <w:style w:type="numbering" w:customStyle="1" w:styleId="NoList3352">
    <w:name w:val="No List3352"/>
    <w:next w:val="NoList"/>
    <w:uiPriority w:val="99"/>
    <w:unhideWhenUsed/>
    <w:rsid w:val="00C64FC7"/>
  </w:style>
  <w:style w:type="numbering" w:customStyle="1" w:styleId="NoList201">
    <w:name w:val="No List201"/>
    <w:next w:val="NoList"/>
    <w:uiPriority w:val="99"/>
    <w:unhideWhenUsed/>
    <w:rsid w:val="00C64FC7"/>
  </w:style>
  <w:style w:type="table" w:customStyle="1" w:styleId="TableGrid101">
    <w:name w:val="Table Grid10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1">
    <w:name w:val="Medium Grid 3 - Accent 18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1">
    <w:name w:val="Medium Grid 1 - Accent 119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1">
    <w:name w:val="Light Grid - Accent 1119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1">
    <w:name w:val="Light Grid - Accent 519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1">
    <w:name w:val="Light Grid - Accent 1219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1">
    <w:name w:val="Light List - Accent 519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1">
    <w:name w:val="Light List - Accent 1119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1">
    <w:name w:val="Light Grid - Accent 1319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1">
    <w:name w:val="Medium Grid 1 - Accent 319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1">
    <w:name w:val="No List1101"/>
    <w:next w:val="NoList"/>
    <w:uiPriority w:val="99"/>
    <w:unhideWhenUsed/>
    <w:rsid w:val="00C64FC7"/>
  </w:style>
  <w:style w:type="table" w:customStyle="1" w:styleId="MediumGrid1-Accent11101">
    <w:name w:val="Medium Grid 1 - Accent 1110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1">
    <w:name w:val="Light Grid - Accent 11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1">
    <w:name w:val="Light Grid - Accent 5110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1">
    <w:name w:val="Light Grid - Accent 12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1">
    <w:name w:val="Light List - Accent 5110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1">
    <w:name w:val="Light List - Accent 11110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1">
    <w:name w:val="Light Grid - Accent 13110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1">
    <w:name w:val="Medium Grid 1 - Accent 3110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1">
    <w:name w:val="Grid Table 4 -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1">
    <w:name w:val="No List291"/>
    <w:next w:val="NoList"/>
    <w:uiPriority w:val="99"/>
    <w:unhideWhenUsed/>
    <w:rsid w:val="00C64FC7"/>
  </w:style>
  <w:style w:type="table" w:customStyle="1" w:styleId="MediumGrid1-Accent1281">
    <w:name w:val="Medium Grid 1 - Accent 12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1">
    <w:name w:val="Light Grid - Accent 112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1">
    <w:name w:val="Light Grid - Accent 52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1">
    <w:name w:val="Light Grid - Accent 12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1">
    <w:name w:val="Light List - Accent 52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1">
    <w:name w:val="Light List - Accent 112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1">
    <w:name w:val="Light Grid - Accent 132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1">
    <w:name w:val="Medium Grid 1 - Accent 32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1">
    <w:name w:val="Grid Table 4 Accent 31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1">
    <w:name w:val="No List391"/>
    <w:next w:val="NoList"/>
    <w:uiPriority w:val="99"/>
    <w:unhideWhenUsed/>
    <w:rsid w:val="00C64FC7"/>
  </w:style>
  <w:style w:type="table" w:customStyle="1" w:styleId="MediumGrid1-Accent1381">
    <w:name w:val="Medium Grid 1 - Accent 138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1">
    <w:name w:val="Light Grid - Accent 1138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1">
    <w:name w:val="Light Grid - Accent 538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1">
    <w:name w:val="Light Grid - Accent 12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1">
    <w:name w:val="Light List - Accent 538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1">
    <w:name w:val="Light List - Accent 1138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1">
    <w:name w:val="Light Grid - Accent 1338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1">
    <w:name w:val="Medium Grid 1 - Accent 338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1">
    <w:name w:val="Grid Table 4 Accent 328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1">
    <w:name w:val="Table Grid18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1">
    <w:name w:val="Table Grid27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1">
    <w:name w:val="No List461"/>
    <w:next w:val="NoList"/>
    <w:uiPriority w:val="99"/>
    <w:unhideWhenUsed/>
    <w:rsid w:val="00C64FC7"/>
  </w:style>
  <w:style w:type="table" w:customStyle="1" w:styleId="MediumGrid1-Accent1461">
    <w:name w:val="Medium Grid 1 - Accent 14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1">
    <w:name w:val="Light Grid - Accent 114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1">
    <w:name w:val="Light Grid - Accent 54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1">
    <w:name w:val="Light Grid - Accent 12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1">
    <w:name w:val="Light List - Accent 54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1">
    <w:name w:val="Light List - Accent 114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1">
    <w:name w:val="Light Grid - Accent 134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1">
    <w:name w:val="Medium Grid 1 - Accent 34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1">
    <w:name w:val="Table Grid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1">
    <w:name w:val="Medium Grid 3 - Accent 116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1">
    <w:name w:val="No List1161"/>
    <w:next w:val="NoList"/>
    <w:uiPriority w:val="99"/>
    <w:unhideWhenUsed/>
    <w:rsid w:val="00C64FC7"/>
  </w:style>
  <w:style w:type="table" w:customStyle="1" w:styleId="MediumGrid1-Accent11161">
    <w:name w:val="Medium Grid 1 - Accent 11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1">
    <w:name w:val="Light Grid - Accent 11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1">
    <w:name w:val="Light Grid - Accent 5116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1">
    <w:name w:val="Light Grid - Accent 12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1">
    <w:name w:val="Light List - Accent 5116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1">
    <w:name w:val="Light List - Accent 111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1">
    <w:name w:val="Light Grid - Accent 131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1">
    <w:name w:val="Medium Grid 1 - Accent 31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1">
    <w:name w:val="Grid Table 4 -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1">
    <w:name w:val="No List2161"/>
    <w:next w:val="NoList"/>
    <w:uiPriority w:val="99"/>
    <w:unhideWhenUsed/>
    <w:rsid w:val="00C64FC7"/>
  </w:style>
  <w:style w:type="table" w:customStyle="1" w:styleId="MediumGrid1-Accent12161">
    <w:name w:val="Medium Grid 1 - Accent 12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1">
    <w:name w:val="Light Grid - Accent 112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1">
    <w:name w:val="Light Grid - Accent 52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1">
    <w:name w:val="Light Grid - Accent 12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1">
    <w:name w:val="Light List - Accent 52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1">
    <w:name w:val="Light List - Accent 112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1">
    <w:name w:val="Light Grid - Accent 132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1">
    <w:name w:val="Medium Grid 1 - Accent 32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1">
    <w:name w:val="Grid Table 4 Accent 31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1">
    <w:name w:val="No List3161"/>
    <w:next w:val="NoList"/>
    <w:uiPriority w:val="99"/>
    <w:unhideWhenUsed/>
    <w:rsid w:val="00C64FC7"/>
  </w:style>
  <w:style w:type="table" w:customStyle="1" w:styleId="MediumGrid1-Accent13161">
    <w:name w:val="Medium Grid 1 - Accent 131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1">
    <w:name w:val="Light Grid - Accent 1131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1">
    <w:name w:val="Light Grid - Accent 531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1">
    <w:name w:val="Light Grid - Accent 12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1">
    <w:name w:val="Light List - Accent 531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1">
    <w:name w:val="Light List - Accent 1131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1">
    <w:name w:val="Light Grid - Accent 1331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1">
    <w:name w:val="Medium Grid 1 - Accent 331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1">
    <w:name w:val="Grid Table 4 Accent 3216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1">
    <w:name w:val="Table Grid116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1">
    <w:name w:val="No List561"/>
    <w:next w:val="NoList"/>
    <w:uiPriority w:val="99"/>
    <w:unhideWhenUsed/>
    <w:rsid w:val="00C64FC7"/>
  </w:style>
  <w:style w:type="table" w:customStyle="1" w:styleId="TableGrid411">
    <w:name w:val="Table Grid411"/>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1">
    <w:name w:val="Medium Grid 3 - Accent 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1">
    <w:name w:val="Medium Grid 1 - Accent 156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1">
    <w:name w:val="Light Grid - Accent 1156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1">
    <w:name w:val="Light Grid - Accent 556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1">
    <w:name w:val="Light Grid - Accent 1256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1">
    <w:name w:val="Light List - Accent 556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1">
    <w:name w:val="Light List - Accent 1156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1">
    <w:name w:val="Light Grid - Accent 135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1">
    <w:name w:val="Medium Grid 1 - Accent 35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1">
    <w:name w:val="No List1261"/>
    <w:next w:val="NoList"/>
    <w:uiPriority w:val="99"/>
    <w:unhideWhenUsed/>
    <w:rsid w:val="00C64FC7"/>
  </w:style>
  <w:style w:type="table" w:customStyle="1" w:styleId="MediumGrid1-Accent11211">
    <w:name w:val="Medium Grid 1 - Accent 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1">
    <w:name w:val="Light Grid - Accent 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1">
    <w:name w:val="Light Grid - Accent 5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1">
    <w:name w:val="Light Grid - Accent 1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1">
    <w:name w:val="Light List - Accent 5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1">
    <w:name w:val="Light List - Accent 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1">
    <w:name w:val="Light Grid - Accent 1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1">
    <w:name w:val="Medium Grid 1 - Accent 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1">
    <w:name w:val="Grid Table 4 -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1">
    <w:name w:val="No List2261"/>
    <w:next w:val="NoList"/>
    <w:uiPriority w:val="99"/>
    <w:unhideWhenUsed/>
    <w:rsid w:val="00C64FC7"/>
  </w:style>
  <w:style w:type="table" w:customStyle="1" w:styleId="MediumGrid1-Accent12211">
    <w:name w:val="Medium Grid 1 - Accent 12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1">
    <w:name w:val="Light Grid - Accent 112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1">
    <w:name w:val="Light Grid - Accent 52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1">
    <w:name w:val="Light Grid - Accent 12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1">
    <w:name w:val="Light List - Accent 52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1">
    <w:name w:val="Light List - Accent 112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1">
    <w:name w:val="Light Grid - Accent 132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1">
    <w:name w:val="Medium Grid 1 - Accent 32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1">
    <w:name w:val="Grid Table 4 Accent 3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1">
    <w:name w:val="No List3261"/>
    <w:next w:val="NoList"/>
    <w:uiPriority w:val="99"/>
    <w:unhideWhenUsed/>
    <w:rsid w:val="00C64FC7"/>
  </w:style>
  <w:style w:type="table" w:customStyle="1" w:styleId="MediumGrid1-Accent13211">
    <w:name w:val="Medium Grid 1 - Accent 13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1">
    <w:name w:val="Light Grid - Accent 113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1">
    <w:name w:val="Light Grid - Accent 53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1">
    <w:name w:val="Light Grid - Accent 12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1">
    <w:name w:val="Light List - Accent 53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1">
    <w:name w:val="Light List - Accent 113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1">
    <w:name w:val="Light Grid - Accent 133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1">
    <w:name w:val="Medium Grid 1 - Accent 33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1">
    <w:name w:val="Grid Table 4 Accent 32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1">
    <w:name w:val="Table Grid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1">
    <w:name w:val="Table Grid2161"/>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1">
    <w:name w:val="No List661"/>
    <w:next w:val="NoList"/>
    <w:uiPriority w:val="99"/>
    <w:unhideWhenUsed/>
    <w:rsid w:val="00C64FC7"/>
  </w:style>
  <w:style w:type="table" w:customStyle="1" w:styleId="MediumGrid1-Accent1661">
    <w:name w:val="Medium Grid 1 - Accent 166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1">
    <w:name w:val="Light Grid - Accent 1166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1">
    <w:name w:val="Light Grid - Accent 566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1">
    <w:name w:val="Light Grid - Accent 12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1">
    <w:name w:val="Light List - Accent 566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1">
    <w:name w:val="Light List - Accent 1166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1">
    <w:name w:val="Light Grid - Accent 1366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1">
    <w:name w:val="Medium Grid 1 - Accent 366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1">
    <w:name w:val="No List1361"/>
    <w:next w:val="NoList"/>
    <w:uiPriority w:val="99"/>
    <w:unhideWhenUsed/>
    <w:rsid w:val="00C64FC7"/>
  </w:style>
  <w:style w:type="numbering" w:customStyle="1" w:styleId="NoList2361">
    <w:name w:val="No List2361"/>
    <w:next w:val="NoList"/>
    <w:uiPriority w:val="99"/>
    <w:unhideWhenUsed/>
    <w:rsid w:val="00C64FC7"/>
  </w:style>
  <w:style w:type="numbering" w:customStyle="1" w:styleId="NoList3361">
    <w:name w:val="No List3361"/>
    <w:next w:val="NoList"/>
    <w:uiPriority w:val="99"/>
    <w:unhideWhenUsed/>
    <w:rsid w:val="00C64FC7"/>
  </w:style>
  <w:style w:type="numbering" w:customStyle="1" w:styleId="NoList711">
    <w:name w:val="No List711"/>
    <w:next w:val="NoList"/>
    <w:uiPriority w:val="99"/>
    <w:unhideWhenUsed/>
    <w:rsid w:val="00C64FC7"/>
  </w:style>
  <w:style w:type="table" w:customStyle="1" w:styleId="TableGrid511">
    <w:name w:val="Table Grid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1">
    <w:name w:val="Medium Grid 3 - Accent 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1">
    <w:name w:val="Medium Grid 1 - Accent 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1">
    <w:name w:val="Light Grid - Accent 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1">
    <w:name w:val="Light Grid - Accent 5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1">
    <w:name w:val="Light Grid - Accent 12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1">
    <w:name w:val="Light List - Accent 57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1">
    <w:name w:val="Light List - Accent 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1">
    <w:name w:val="Light Grid - Accent 1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1">
    <w:name w:val="Medium Grid 1 - Accent 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1">
    <w:name w:val="No List1411"/>
    <w:next w:val="NoList"/>
    <w:uiPriority w:val="99"/>
    <w:unhideWhenUsed/>
    <w:rsid w:val="00C64FC7"/>
  </w:style>
  <w:style w:type="table" w:customStyle="1" w:styleId="MediumGrid1-Accent11311">
    <w:name w:val="Medium Grid 1 - Accent 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1">
    <w:name w:val="Light Grid - Accent 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1">
    <w:name w:val="Light Grid - Accent 5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1">
    <w:name w:val="Light Grid - Accent 1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1">
    <w:name w:val="Light List - Accent 5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1">
    <w:name w:val="Light List - Accent 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1">
    <w:name w:val="Light Grid - Accent 1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1">
    <w:name w:val="Medium Grid 1 - Accent 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1">
    <w:name w:val="Grid Table 4 -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1">
    <w:name w:val="No List2411"/>
    <w:next w:val="NoList"/>
    <w:uiPriority w:val="99"/>
    <w:unhideWhenUsed/>
    <w:rsid w:val="00C64FC7"/>
  </w:style>
  <w:style w:type="table" w:customStyle="1" w:styleId="MediumGrid1-Accent12311">
    <w:name w:val="Medium Grid 1 - Accent 12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1">
    <w:name w:val="Light Grid - Accent 112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1">
    <w:name w:val="Light Grid - Accent 52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1">
    <w:name w:val="Light Grid - Accent 12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1">
    <w:name w:val="Light List - Accent 52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1">
    <w:name w:val="Light List - Accent 112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1">
    <w:name w:val="Light Grid - Accent 132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1">
    <w:name w:val="Medium Grid 1 - Accent 32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1">
    <w:name w:val="Grid Table 4 Accent 3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1">
    <w:name w:val="No List3411"/>
    <w:next w:val="NoList"/>
    <w:uiPriority w:val="99"/>
    <w:unhideWhenUsed/>
    <w:rsid w:val="00C64FC7"/>
  </w:style>
  <w:style w:type="table" w:customStyle="1" w:styleId="MediumGrid1-Accent13311">
    <w:name w:val="Medium Grid 1 - Accent 13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1">
    <w:name w:val="Light Grid - Accent 113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1">
    <w:name w:val="Light Grid - Accent 53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1">
    <w:name w:val="Light Grid - Accent 12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1">
    <w:name w:val="Light List - Accent 53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1">
    <w:name w:val="Light List - Accent 113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1">
    <w:name w:val="Light Grid - Accent 133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1">
    <w:name w:val="Medium Grid 1 - Accent 33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1">
    <w:name w:val="Grid Table 4 Accent 32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1">
    <w:name w:val="Table Grid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1">
    <w:name w:val="No List4111"/>
    <w:next w:val="NoList"/>
    <w:uiPriority w:val="99"/>
    <w:unhideWhenUsed/>
    <w:rsid w:val="00C64FC7"/>
  </w:style>
  <w:style w:type="table" w:customStyle="1" w:styleId="MediumGrid1-Accent14111">
    <w:name w:val="Medium Grid 1 - Accent 14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1">
    <w:name w:val="Light Grid - Accent 114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1">
    <w:name w:val="Light Grid - Accent 54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1">
    <w:name w:val="Light Grid - Accent 12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1">
    <w:name w:val="Light List - Accent 54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1">
    <w:name w:val="Light List - Accent 114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1">
    <w:name w:val="Light Grid - Accent 134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1">
    <w:name w:val="Medium Grid 1 - Accent 34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1">
    <w:name w:val="Table Grid211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1">
    <w:name w:val="Medium Grid 3 - Accent 111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1">
    <w:name w:val="No List11111"/>
    <w:next w:val="NoList"/>
    <w:uiPriority w:val="99"/>
    <w:unhideWhenUsed/>
    <w:rsid w:val="00C64FC7"/>
  </w:style>
  <w:style w:type="table" w:customStyle="1" w:styleId="MediumGrid1-Accent111111">
    <w:name w:val="Medium Grid 1 - Accent 11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1">
    <w:name w:val="Light Grid - Accent 11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1">
    <w:name w:val="Light Grid - Accent 5111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1">
    <w:name w:val="Light Grid - Accent 12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1">
    <w:name w:val="Light List - Accent 5111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1">
    <w:name w:val="Light List - Accent 111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1">
    <w:name w:val="Light Grid - Accent 131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1">
    <w:name w:val="Medium Grid 1 - Accent 31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1">
    <w:name w:val="Grid Table 4 -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1">
    <w:name w:val="No List21111"/>
    <w:next w:val="NoList"/>
    <w:uiPriority w:val="99"/>
    <w:unhideWhenUsed/>
    <w:rsid w:val="00C64FC7"/>
  </w:style>
  <w:style w:type="table" w:customStyle="1" w:styleId="MediumGrid1-Accent121111">
    <w:name w:val="Medium Grid 1 - Accent 12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1">
    <w:name w:val="Light Grid - Accent 112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1">
    <w:name w:val="Light Grid - Accent 52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1">
    <w:name w:val="Light Grid - Accent 12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1">
    <w:name w:val="Light List - Accent 52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1">
    <w:name w:val="Light List - Accent 112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1">
    <w:name w:val="Light Grid - Accent 132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1">
    <w:name w:val="Medium Grid 1 - Accent 32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1">
    <w:name w:val="Grid Table 4 Accent 31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1">
    <w:name w:val="No List31111"/>
    <w:next w:val="NoList"/>
    <w:uiPriority w:val="99"/>
    <w:unhideWhenUsed/>
    <w:rsid w:val="00C64FC7"/>
  </w:style>
  <w:style w:type="table" w:customStyle="1" w:styleId="MediumGrid1-Accent131111">
    <w:name w:val="Medium Grid 1 - Accent 131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1">
    <w:name w:val="Light Grid - Accent 1131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1">
    <w:name w:val="Light Grid - Accent 531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1">
    <w:name w:val="Light Grid - Accent 12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1">
    <w:name w:val="Light List - Accent 531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1">
    <w:name w:val="Light List - Accent 1131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1">
    <w:name w:val="Light Grid - Accent 1331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1">
    <w:name w:val="Medium Grid 1 - Accent 331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1">
    <w:name w:val="Grid Table 4 Accent 3211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1">
    <w:name w:val="Table Grid111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1">
    <w:name w:val="No List5111"/>
    <w:next w:val="NoList"/>
    <w:uiPriority w:val="99"/>
    <w:unhideWhenUsed/>
    <w:rsid w:val="00C64FC7"/>
  </w:style>
  <w:style w:type="table" w:customStyle="1" w:styleId="MediumGrid1-Accent15111">
    <w:name w:val="Medium Grid 1 - Accent 15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1">
    <w:name w:val="Light Grid - Accent 115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1">
    <w:name w:val="Light Grid - Accent 55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1">
    <w:name w:val="Light Grid - Accent 12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1">
    <w:name w:val="Light List - Accent 55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1">
    <w:name w:val="Light List - Accent 115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1">
    <w:name w:val="Light Grid - Accent 135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1">
    <w:name w:val="Medium Grid 1 - Accent 35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1">
    <w:name w:val="No List12111"/>
    <w:next w:val="NoList"/>
    <w:uiPriority w:val="99"/>
    <w:unhideWhenUsed/>
    <w:rsid w:val="00C64FC7"/>
  </w:style>
  <w:style w:type="numbering" w:customStyle="1" w:styleId="NoList22111">
    <w:name w:val="No List22111"/>
    <w:next w:val="NoList"/>
    <w:uiPriority w:val="99"/>
    <w:unhideWhenUsed/>
    <w:rsid w:val="00C64FC7"/>
  </w:style>
  <w:style w:type="numbering" w:customStyle="1" w:styleId="NoList32111">
    <w:name w:val="No List32111"/>
    <w:next w:val="NoList"/>
    <w:uiPriority w:val="99"/>
    <w:unhideWhenUsed/>
    <w:rsid w:val="00C64FC7"/>
  </w:style>
  <w:style w:type="numbering" w:customStyle="1" w:styleId="NoList6111">
    <w:name w:val="No List6111"/>
    <w:next w:val="NoList"/>
    <w:uiPriority w:val="99"/>
    <w:unhideWhenUsed/>
    <w:rsid w:val="00C64FC7"/>
  </w:style>
  <w:style w:type="table" w:customStyle="1" w:styleId="MediumGrid1-Accent16111">
    <w:name w:val="Medium Grid 1 - Accent 161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1">
    <w:name w:val="Light Grid - Accent 1161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1">
    <w:name w:val="Light Grid - Accent 561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1">
    <w:name w:val="Light Grid - Accent 12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1">
    <w:name w:val="Light List - Accent 561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1">
    <w:name w:val="Light List - Accent 1161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1">
    <w:name w:val="Light Grid - Accent 1361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1">
    <w:name w:val="Medium Grid 1 - Accent 361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1">
    <w:name w:val="No List13111"/>
    <w:next w:val="NoList"/>
    <w:uiPriority w:val="99"/>
    <w:unhideWhenUsed/>
    <w:rsid w:val="00C64FC7"/>
  </w:style>
  <w:style w:type="numbering" w:customStyle="1" w:styleId="NoList23111">
    <w:name w:val="No List23111"/>
    <w:next w:val="NoList"/>
    <w:uiPriority w:val="99"/>
    <w:unhideWhenUsed/>
    <w:rsid w:val="00C64FC7"/>
  </w:style>
  <w:style w:type="numbering" w:customStyle="1" w:styleId="NoList33111">
    <w:name w:val="No List33111"/>
    <w:next w:val="NoList"/>
    <w:uiPriority w:val="99"/>
    <w:unhideWhenUsed/>
    <w:rsid w:val="00C64FC7"/>
  </w:style>
  <w:style w:type="numbering" w:customStyle="1" w:styleId="NoList811">
    <w:name w:val="No List811"/>
    <w:next w:val="NoList"/>
    <w:uiPriority w:val="99"/>
    <w:unhideWhenUsed/>
    <w:rsid w:val="00C64FC7"/>
  </w:style>
  <w:style w:type="table" w:customStyle="1" w:styleId="TableGrid611">
    <w:name w:val="Table Grid6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1">
    <w:name w:val="Medium Grid 3 - Accent 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1">
    <w:name w:val="Medium Grid 1 - Accent 18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1">
    <w:name w:val="Light Grid - Accent 118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1">
    <w:name w:val="Light Grid - Accent 58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1">
    <w:name w:val="Light Grid - Accent 128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1">
    <w:name w:val="Light List - Accent 58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1">
    <w:name w:val="Light List - Accent 118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1">
    <w:name w:val="Light Grid - Accent 13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1">
    <w:name w:val="Medium Grid 1 - Accent 3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1">
    <w:name w:val="No List1511"/>
    <w:next w:val="NoList"/>
    <w:uiPriority w:val="99"/>
    <w:unhideWhenUsed/>
    <w:rsid w:val="00C64FC7"/>
  </w:style>
  <w:style w:type="table" w:customStyle="1" w:styleId="MediumGrid1-Accent11411">
    <w:name w:val="Medium Grid 1 - Accent 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1">
    <w:name w:val="Light Grid - Accent 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1">
    <w:name w:val="Light Grid - Accent 5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1">
    <w:name w:val="Light Grid - Accent 1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1">
    <w:name w:val="Light List - Accent 5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1">
    <w:name w:val="Light List - Accent 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1">
    <w:name w:val="Light Grid - Accent 1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1">
    <w:name w:val="Medium Grid 1 - Accent 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1">
    <w:name w:val="Grid Table 4 -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1">
    <w:name w:val="No List2511"/>
    <w:next w:val="NoList"/>
    <w:uiPriority w:val="99"/>
    <w:unhideWhenUsed/>
    <w:rsid w:val="00C64FC7"/>
  </w:style>
  <w:style w:type="table" w:customStyle="1" w:styleId="MediumGrid1-Accent12411">
    <w:name w:val="Medium Grid 1 - Accent 12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1">
    <w:name w:val="Light Grid - Accent 112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1">
    <w:name w:val="Light Grid - Accent 52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1">
    <w:name w:val="Light Grid - Accent 12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1">
    <w:name w:val="Light List - Accent 52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1">
    <w:name w:val="Light List - Accent 112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1">
    <w:name w:val="Light Grid - Accent 132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1">
    <w:name w:val="Medium Grid 1 - Accent 32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1">
    <w:name w:val="Grid Table 4 Accent 3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1">
    <w:name w:val="No List3511"/>
    <w:next w:val="NoList"/>
    <w:uiPriority w:val="99"/>
    <w:unhideWhenUsed/>
    <w:rsid w:val="00C64FC7"/>
  </w:style>
  <w:style w:type="table" w:customStyle="1" w:styleId="MediumGrid1-Accent13411">
    <w:name w:val="Medium Grid 1 - Accent 13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1">
    <w:name w:val="Light Grid - Accent 113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1">
    <w:name w:val="Light Grid - Accent 53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1">
    <w:name w:val="Light Grid - Accent 12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1">
    <w:name w:val="Light List - Accent 53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1">
    <w:name w:val="Light List - Accent 113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1">
    <w:name w:val="Light Grid - Accent 133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1">
    <w:name w:val="Medium Grid 1 - Accent 33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1">
    <w:name w:val="Grid Table 4 Accent 32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1">
    <w:name w:val="Table Grid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1">
    <w:name w:val="Table Grid23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unhideWhenUsed/>
    <w:rsid w:val="00C64FC7"/>
  </w:style>
  <w:style w:type="table" w:customStyle="1" w:styleId="MediumGrid1-Accent14211">
    <w:name w:val="Medium Grid 1 - Accent 14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1">
    <w:name w:val="Light Grid - Accent 114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1">
    <w:name w:val="Light Grid - Accent 54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1">
    <w:name w:val="Light Grid - Accent 12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1">
    <w:name w:val="Light List - Accent 54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1">
    <w:name w:val="Light List - Accent 114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1">
    <w:name w:val="Light Grid - Accent 134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1">
    <w:name w:val="Medium Grid 1 - Accent 34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1">
    <w:name w:val="Table Grid212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1">
    <w:name w:val="Medium Grid 3 - Accent 112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1">
    <w:name w:val="No List11211"/>
    <w:next w:val="NoList"/>
    <w:uiPriority w:val="99"/>
    <w:unhideWhenUsed/>
    <w:rsid w:val="00C64FC7"/>
  </w:style>
  <w:style w:type="table" w:customStyle="1" w:styleId="MediumGrid1-Accent111211">
    <w:name w:val="Medium Grid 1 - Accent 11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1">
    <w:name w:val="Light Grid - Accent 11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1">
    <w:name w:val="Light Grid - Accent 5112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1">
    <w:name w:val="Light Grid - Accent 12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1">
    <w:name w:val="Light List - Accent 5112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1">
    <w:name w:val="Light List - Accent 111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1">
    <w:name w:val="Light Grid - Accent 131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1">
    <w:name w:val="Medium Grid 1 - Accent 31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1">
    <w:name w:val="Grid Table 4 -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1">
    <w:name w:val="No List21211"/>
    <w:next w:val="NoList"/>
    <w:uiPriority w:val="99"/>
    <w:unhideWhenUsed/>
    <w:rsid w:val="00C64FC7"/>
  </w:style>
  <w:style w:type="table" w:customStyle="1" w:styleId="MediumGrid1-Accent121211">
    <w:name w:val="Medium Grid 1 - Accent 12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1">
    <w:name w:val="Light Grid - Accent 112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1">
    <w:name w:val="Light Grid - Accent 52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1">
    <w:name w:val="Light Grid - Accent 12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1">
    <w:name w:val="Light List - Accent 52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1">
    <w:name w:val="Light List - Accent 112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1">
    <w:name w:val="Light Grid - Accent 132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1">
    <w:name w:val="Medium Grid 1 - Accent 32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1">
    <w:name w:val="Grid Table 4 Accent 31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1">
    <w:name w:val="No List31211"/>
    <w:next w:val="NoList"/>
    <w:uiPriority w:val="99"/>
    <w:unhideWhenUsed/>
    <w:rsid w:val="00C64FC7"/>
  </w:style>
  <w:style w:type="table" w:customStyle="1" w:styleId="MediumGrid1-Accent131211">
    <w:name w:val="Medium Grid 1 - Accent 131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1">
    <w:name w:val="Light Grid - Accent 1131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1">
    <w:name w:val="Light Grid - Accent 531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1">
    <w:name w:val="Light Grid - Accent 12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1">
    <w:name w:val="Light List - Accent 531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1">
    <w:name w:val="Light List - Accent 1131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1">
    <w:name w:val="Light Grid - Accent 1331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1">
    <w:name w:val="Medium Grid 1 - Accent 331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1">
    <w:name w:val="Grid Table 4 Accent 3212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1">
    <w:name w:val="Table Grid112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1">
    <w:name w:val="No List5211"/>
    <w:next w:val="NoList"/>
    <w:uiPriority w:val="99"/>
    <w:unhideWhenUsed/>
    <w:rsid w:val="00C64FC7"/>
  </w:style>
  <w:style w:type="table" w:customStyle="1" w:styleId="MediumGrid1-Accent15211">
    <w:name w:val="Medium Grid 1 - Accent 15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1">
    <w:name w:val="Light Grid - Accent 115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1">
    <w:name w:val="Light Grid - Accent 55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1">
    <w:name w:val="Light Grid - Accent 12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1">
    <w:name w:val="Light List - Accent 55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1">
    <w:name w:val="Light List - Accent 115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1">
    <w:name w:val="Light Grid - Accent 135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1">
    <w:name w:val="Medium Grid 1 - Accent 35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1">
    <w:name w:val="No List12211"/>
    <w:next w:val="NoList"/>
    <w:uiPriority w:val="99"/>
    <w:unhideWhenUsed/>
    <w:rsid w:val="00C64FC7"/>
  </w:style>
  <w:style w:type="numbering" w:customStyle="1" w:styleId="NoList22211">
    <w:name w:val="No List22211"/>
    <w:next w:val="NoList"/>
    <w:uiPriority w:val="99"/>
    <w:unhideWhenUsed/>
    <w:rsid w:val="00C64FC7"/>
  </w:style>
  <w:style w:type="numbering" w:customStyle="1" w:styleId="NoList32211">
    <w:name w:val="No List32211"/>
    <w:next w:val="NoList"/>
    <w:uiPriority w:val="99"/>
    <w:unhideWhenUsed/>
    <w:rsid w:val="00C64FC7"/>
  </w:style>
  <w:style w:type="numbering" w:customStyle="1" w:styleId="NoList6211">
    <w:name w:val="No List6211"/>
    <w:next w:val="NoList"/>
    <w:uiPriority w:val="99"/>
    <w:unhideWhenUsed/>
    <w:rsid w:val="00C64FC7"/>
  </w:style>
  <w:style w:type="table" w:customStyle="1" w:styleId="MediumGrid1-Accent16211">
    <w:name w:val="Medium Grid 1 - Accent 162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1">
    <w:name w:val="Light Grid - Accent 1162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1">
    <w:name w:val="Light Grid - Accent 562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1">
    <w:name w:val="Light Grid - Accent 12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1">
    <w:name w:val="Light List - Accent 562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1">
    <w:name w:val="Light List - Accent 1162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1">
    <w:name w:val="Light Grid - Accent 1362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1">
    <w:name w:val="Medium Grid 1 - Accent 362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1">
    <w:name w:val="No List13211"/>
    <w:next w:val="NoList"/>
    <w:uiPriority w:val="99"/>
    <w:unhideWhenUsed/>
    <w:rsid w:val="00C64FC7"/>
  </w:style>
  <w:style w:type="numbering" w:customStyle="1" w:styleId="NoList23211">
    <w:name w:val="No List23211"/>
    <w:next w:val="NoList"/>
    <w:uiPriority w:val="99"/>
    <w:unhideWhenUsed/>
    <w:rsid w:val="00C64FC7"/>
  </w:style>
  <w:style w:type="numbering" w:customStyle="1" w:styleId="NoList33211">
    <w:name w:val="No List33211"/>
    <w:next w:val="NoList"/>
    <w:uiPriority w:val="99"/>
    <w:unhideWhenUsed/>
    <w:rsid w:val="00C64FC7"/>
  </w:style>
  <w:style w:type="numbering" w:customStyle="1" w:styleId="NoList911">
    <w:name w:val="No List911"/>
    <w:next w:val="NoList"/>
    <w:uiPriority w:val="99"/>
    <w:unhideWhenUsed/>
    <w:rsid w:val="00C64FC7"/>
  </w:style>
  <w:style w:type="table" w:customStyle="1" w:styleId="TableGrid711">
    <w:name w:val="Table Grid7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1">
    <w:name w:val="Medium Grid 3 - Accent 1511"/>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1">
    <w:name w:val="Medium Grid 1 - Accent 19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1">
    <w:name w:val="Light Grid - Accent 119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1">
    <w:name w:val="Light Grid - Accent 59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1">
    <w:name w:val="Light Grid - Accent 129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1">
    <w:name w:val="Light List - Accent 59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1">
    <w:name w:val="Light List - Accent 119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1">
    <w:name w:val="Light Grid - Accent 139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1">
    <w:name w:val="Medium Grid 1 - Accent 39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1">
    <w:name w:val="No List1611"/>
    <w:next w:val="NoList"/>
    <w:uiPriority w:val="99"/>
    <w:unhideWhenUsed/>
    <w:rsid w:val="00C64FC7"/>
  </w:style>
  <w:style w:type="table" w:customStyle="1" w:styleId="MediumGrid1-Accent11511">
    <w:name w:val="Medium Grid 1 - Accent 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1">
    <w:name w:val="Light Grid - Accent 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1">
    <w:name w:val="Light Grid - Accent 5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1">
    <w:name w:val="Light Grid - Accent 1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1">
    <w:name w:val="Light List - Accent 5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1">
    <w:name w:val="Light List - Accent 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1">
    <w:name w:val="Light Grid - Accent 1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1">
    <w:name w:val="Medium Grid 1 - Accent 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1">
    <w:name w:val="Grid Table 4 -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1">
    <w:name w:val="No List2611"/>
    <w:next w:val="NoList"/>
    <w:uiPriority w:val="99"/>
    <w:unhideWhenUsed/>
    <w:rsid w:val="00C64FC7"/>
  </w:style>
  <w:style w:type="table" w:customStyle="1" w:styleId="MediumGrid1-Accent12511">
    <w:name w:val="Medium Grid 1 - Accent 12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1">
    <w:name w:val="Light Grid - Accent 112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1">
    <w:name w:val="Light Grid - Accent 52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1">
    <w:name w:val="Light Grid - Accent 12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1">
    <w:name w:val="Light List - Accent 52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1">
    <w:name w:val="Light List - Accent 112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1">
    <w:name w:val="Light Grid - Accent 132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1">
    <w:name w:val="Medium Grid 1 - Accent 32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1">
    <w:name w:val="Grid Table 4 Accent 3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1">
    <w:name w:val="No List3611"/>
    <w:next w:val="NoList"/>
    <w:uiPriority w:val="99"/>
    <w:unhideWhenUsed/>
    <w:rsid w:val="00C64FC7"/>
  </w:style>
  <w:style w:type="table" w:customStyle="1" w:styleId="MediumGrid1-Accent13511">
    <w:name w:val="Medium Grid 1 - Accent 13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1">
    <w:name w:val="Light Grid - Accent 113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1">
    <w:name w:val="Light Grid - Accent 53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1">
    <w:name w:val="Light Grid - Accent 12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1">
    <w:name w:val="Light List - Accent 53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1">
    <w:name w:val="Light List - Accent 113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1">
    <w:name w:val="Light Grid - Accent 133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1">
    <w:name w:val="Medium Grid 1 - Accent 33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1">
    <w:name w:val="Grid Table 4 Accent 32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1">
    <w:name w:val="Table Grid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1">
    <w:name w:val="Table Grid24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1">
    <w:name w:val="No List4311"/>
    <w:next w:val="NoList"/>
    <w:uiPriority w:val="99"/>
    <w:unhideWhenUsed/>
    <w:rsid w:val="00C64FC7"/>
  </w:style>
  <w:style w:type="table" w:customStyle="1" w:styleId="MediumGrid1-Accent14311">
    <w:name w:val="Medium Grid 1 - Accent 14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1">
    <w:name w:val="Light Grid - Accent 114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1">
    <w:name w:val="Light Grid - Accent 54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1">
    <w:name w:val="Light Grid - Accent 12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1">
    <w:name w:val="Light List - Accent 54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1">
    <w:name w:val="Light List - Accent 114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1">
    <w:name w:val="Light Grid - Accent 134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1">
    <w:name w:val="Medium Grid 1 - Accent 34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1">
    <w:name w:val="Table Grid213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1">
    <w:name w:val="Medium Grid 3 - Accent 113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1">
    <w:name w:val="No List11311"/>
    <w:next w:val="NoList"/>
    <w:uiPriority w:val="99"/>
    <w:unhideWhenUsed/>
    <w:rsid w:val="00C64FC7"/>
  </w:style>
  <w:style w:type="table" w:customStyle="1" w:styleId="MediumGrid1-Accent111311">
    <w:name w:val="Medium Grid 1 - Accent 11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1">
    <w:name w:val="Light Grid - Accent 11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1">
    <w:name w:val="Light Grid - Accent 5113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1">
    <w:name w:val="Light Grid - Accent 12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1">
    <w:name w:val="Light List - Accent 5113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1">
    <w:name w:val="Light List - Accent 111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1">
    <w:name w:val="Light Grid - Accent 131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1">
    <w:name w:val="Medium Grid 1 - Accent 31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1">
    <w:name w:val="Grid Table 4 -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1">
    <w:name w:val="No List21311"/>
    <w:next w:val="NoList"/>
    <w:uiPriority w:val="99"/>
    <w:unhideWhenUsed/>
    <w:rsid w:val="00C64FC7"/>
  </w:style>
  <w:style w:type="table" w:customStyle="1" w:styleId="MediumGrid1-Accent121311">
    <w:name w:val="Medium Grid 1 - Accent 12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1">
    <w:name w:val="Light Grid - Accent 112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1">
    <w:name w:val="Light Grid - Accent 52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1">
    <w:name w:val="Light Grid - Accent 12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1">
    <w:name w:val="Light List - Accent 52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1">
    <w:name w:val="Light List - Accent 112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1">
    <w:name w:val="Light Grid - Accent 132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1">
    <w:name w:val="Medium Grid 1 - Accent 32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1">
    <w:name w:val="Grid Table 4 Accent 31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1">
    <w:name w:val="No List31311"/>
    <w:next w:val="NoList"/>
    <w:uiPriority w:val="99"/>
    <w:unhideWhenUsed/>
    <w:rsid w:val="00C64FC7"/>
  </w:style>
  <w:style w:type="table" w:customStyle="1" w:styleId="MediumGrid1-Accent131311">
    <w:name w:val="Medium Grid 1 - Accent 131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1">
    <w:name w:val="Light Grid - Accent 1131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1">
    <w:name w:val="Light Grid - Accent 531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1">
    <w:name w:val="Light Grid - Accent 12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1">
    <w:name w:val="Light List - Accent 531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1">
    <w:name w:val="Light List - Accent 1131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1">
    <w:name w:val="Light Grid - Accent 1331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1">
    <w:name w:val="Medium Grid 1 - Accent 331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1">
    <w:name w:val="Grid Table 4 Accent 3213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1">
    <w:name w:val="Table Grid113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1">
    <w:name w:val="No List5311"/>
    <w:next w:val="NoList"/>
    <w:uiPriority w:val="99"/>
    <w:unhideWhenUsed/>
    <w:rsid w:val="00C64FC7"/>
  </w:style>
  <w:style w:type="table" w:customStyle="1" w:styleId="MediumGrid1-Accent15311">
    <w:name w:val="Medium Grid 1 - Accent 15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1">
    <w:name w:val="Light Grid - Accent 115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1">
    <w:name w:val="Light Grid - Accent 55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1">
    <w:name w:val="Light Grid - Accent 12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1">
    <w:name w:val="Light List - Accent 55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1">
    <w:name w:val="Light List - Accent 115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1">
    <w:name w:val="Light Grid - Accent 135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1">
    <w:name w:val="Medium Grid 1 - Accent 35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1">
    <w:name w:val="No List12311"/>
    <w:next w:val="NoList"/>
    <w:uiPriority w:val="99"/>
    <w:unhideWhenUsed/>
    <w:rsid w:val="00C64FC7"/>
  </w:style>
  <w:style w:type="numbering" w:customStyle="1" w:styleId="NoList22311">
    <w:name w:val="No List22311"/>
    <w:next w:val="NoList"/>
    <w:uiPriority w:val="99"/>
    <w:unhideWhenUsed/>
    <w:rsid w:val="00C64FC7"/>
  </w:style>
  <w:style w:type="numbering" w:customStyle="1" w:styleId="NoList32311">
    <w:name w:val="No List32311"/>
    <w:next w:val="NoList"/>
    <w:uiPriority w:val="99"/>
    <w:unhideWhenUsed/>
    <w:rsid w:val="00C64FC7"/>
  </w:style>
  <w:style w:type="numbering" w:customStyle="1" w:styleId="NoList6311">
    <w:name w:val="No List6311"/>
    <w:next w:val="NoList"/>
    <w:uiPriority w:val="99"/>
    <w:unhideWhenUsed/>
    <w:rsid w:val="00C64FC7"/>
  </w:style>
  <w:style w:type="table" w:customStyle="1" w:styleId="MediumGrid1-Accent16311">
    <w:name w:val="Medium Grid 1 - Accent 163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1">
    <w:name w:val="Light Grid - Accent 1163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1">
    <w:name w:val="Light Grid - Accent 563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1">
    <w:name w:val="Light Grid - Accent 12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1">
    <w:name w:val="Light List - Accent 563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1">
    <w:name w:val="Light List - Accent 1163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1">
    <w:name w:val="Light Grid - Accent 1363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1">
    <w:name w:val="Medium Grid 1 - Accent 363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1">
    <w:name w:val="No List13311"/>
    <w:next w:val="NoList"/>
    <w:uiPriority w:val="99"/>
    <w:unhideWhenUsed/>
    <w:rsid w:val="00C64FC7"/>
  </w:style>
  <w:style w:type="numbering" w:customStyle="1" w:styleId="NoList23311">
    <w:name w:val="No List23311"/>
    <w:next w:val="NoList"/>
    <w:uiPriority w:val="99"/>
    <w:unhideWhenUsed/>
    <w:rsid w:val="00C64FC7"/>
  </w:style>
  <w:style w:type="numbering" w:customStyle="1" w:styleId="NoList33311">
    <w:name w:val="No List33311"/>
    <w:next w:val="NoList"/>
    <w:uiPriority w:val="99"/>
    <w:unhideWhenUsed/>
    <w:rsid w:val="00C64FC7"/>
  </w:style>
  <w:style w:type="numbering" w:customStyle="1" w:styleId="NoList1011">
    <w:name w:val="No List1011"/>
    <w:next w:val="NoList"/>
    <w:uiPriority w:val="99"/>
    <w:unhideWhenUsed/>
    <w:rsid w:val="00C64FC7"/>
  </w:style>
  <w:style w:type="table" w:customStyle="1" w:styleId="TableGrid811">
    <w:name w:val="Table Grid8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1">
    <w:name w:val="Medium Grid 3 - Accent 16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1">
    <w:name w:val="Medium Grid 1 - Accent 110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1">
    <w:name w:val="Light Grid - Accent 1110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1">
    <w:name w:val="Light Grid - Accent 510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1">
    <w:name w:val="Light Grid - Accent 1210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1">
    <w:name w:val="Light List - Accent 51011"/>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1">
    <w:name w:val="Light List - Accent 1110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1">
    <w:name w:val="Light Grid - Accent 1310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1">
    <w:name w:val="Medium Grid 1 - Accent 310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1">
    <w:name w:val="No List1711"/>
    <w:next w:val="NoList"/>
    <w:uiPriority w:val="99"/>
    <w:unhideWhenUsed/>
    <w:rsid w:val="00C64FC7"/>
  </w:style>
  <w:style w:type="table" w:customStyle="1" w:styleId="MediumGrid1-Accent11611">
    <w:name w:val="Medium Grid 1 - Accent 11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1">
    <w:name w:val="Light Grid - Accent 11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1">
    <w:name w:val="Light Grid - Accent 516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1">
    <w:name w:val="Light Grid - Accent 12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1">
    <w:name w:val="Light List - Accent 516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1">
    <w:name w:val="Light List - Accent 111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1">
    <w:name w:val="Light Grid - Accent 131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1">
    <w:name w:val="Medium Grid 1 - Accent 31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1">
    <w:name w:val="Grid Table 4 -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1">
    <w:name w:val="No List2711"/>
    <w:next w:val="NoList"/>
    <w:uiPriority w:val="99"/>
    <w:unhideWhenUsed/>
    <w:rsid w:val="00C64FC7"/>
  </w:style>
  <w:style w:type="table" w:customStyle="1" w:styleId="MediumGrid1-Accent12611">
    <w:name w:val="Medium Grid 1 - Accent 12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1">
    <w:name w:val="Light Grid - Accent 112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1">
    <w:name w:val="Light Grid - Accent 52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1">
    <w:name w:val="Light Grid - Accent 12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1">
    <w:name w:val="Light List - Accent 52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1">
    <w:name w:val="Light List - Accent 112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1">
    <w:name w:val="Light Grid - Accent 132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1">
    <w:name w:val="Medium Grid 1 - Accent 32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1">
    <w:name w:val="Grid Table 4 Accent 31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1">
    <w:name w:val="No List3711"/>
    <w:next w:val="NoList"/>
    <w:uiPriority w:val="99"/>
    <w:unhideWhenUsed/>
    <w:rsid w:val="00C64FC7"/>
  </w:style>
  <w:style w:type="table" w:customStyle="1" w:styleId="MediumGrid1-Accent13611">
    <w:name w:val="Medium Grid 1 - Accent 136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1">
    <w:name w:val="Light Grid - Accent 1136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1">
    <w:name w:val="Light Grid - Accent 536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1">
    <w:name w:val="Light Grid - Accent 12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1">
    <w:name w:val="Light List - Accent 536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1">
    <w:name w:val="Light List - Accent 1136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1">
    <w:name w:val="Light Grid - Accent 1336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1">
    <w:name w:val="Medium Grid 1 - Accent 336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1">
    <w:name w:val="Grid Table 4 Accent 326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1">
    <w:name w:val="Table Grid16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1">
    <w:name w:val="Table Grid25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1">
    <w:name w:val="No List4411"/>
    <w:next w:val="NoList"/>
    <w:uiPriority w:val="99"/>
    <w:unhideWhenUsed/>
    <w:rsid w:val="00C64FC7"/>
  </w:style>
  <w:style w:type="table" w:customStyle="1" w:styleId="MediumGrid1-Accent14411">
    <w:name w:val="Medium Grid 1 - Accent 14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1">
    <w:name w:val="Light Grid - Accent 114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1">
    <w:name w:val="Light Grid - Accent 54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1">
    <w:name w:val="Light Grid - Accent 12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1">
    <w:name w:val="Light List - Accent 54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1">
    <w:name w:val="Light List - Accent 114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1">
    <w:name w:val="Light Grid - Accent 134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1">
    <w:name w:val="Medium Grid 1 - Accent 34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1">
    <w:name w:val="Table Grid214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1">
    <w:name w:val="Medium Grid 3 - Accent 114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1">
    <w:name w:val="No List11411"/>
    <w:next w:val="NoList"/>
    <w:uiPriority w:val="99"/>
    <w:unhideWhenUsed/>
    <w:rsid w:val="00C64FC7"/>
  </w:style>
  <w:style w:type="table" w:customStyle="1" w:styleId="MediumGrid1-Accent111411">
    <w:name w:val="Medium Grid 1 - Accent 11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1">
    <w:name w:val="Light Grid - Accent 11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1">
    <w:name w:val="Light Grid - Accent 5114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1">
    <w:name w:val="Light Grid - Accent 12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1">
    <w:name w:val="Light List - Accent 5114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1">
    <w:name w:val="Light List - Accent 111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1">
    <w:name w:val="Light Grid - Accent 131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1">
    <w:name w:val="Medium Grid 1 - Accent 31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1">
    <w:name w:val="Grid Table 4 -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1">
    <w:name w:val="No List21411"/>
    <w:next w:val="NoList"/>
    <w:uiPriority w:val="99"/>
    <w:unhideWhenUsed/>
    <w:rsid w:val="00C64FC7"/>
  </w:style>
  <w:style w:type="table" w:customStyle="1" w:styleId="MediumGrid1-Accent121411">
    <w:name w:val="Medium Grid 1 - Accent 12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1">
    <w:name w:val="Light Grid - Accent 112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1">
    <w:name w:val="Light Grid - Accent 52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1">
    <w:name w:val="Light Grid - Accent 12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1">
    <w:name w:val="Light List - Accent 52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11">
    <w:name w:val="Light List - Accent 112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11">
    <w:name w:val="Light Grid - Accent 132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11">
    <w:name w:val="Medium Grid 1 - Accent 32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11">
    <w:name w:val="Grid Table 4 Accent 31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11">
    <w:name w:val="No List31411"/>
    <w:next w:val="NoList"/>
    <w:uiPriority w:val="99"/>
    <w:unhideWhenUsed/>
    <w:rsid w:val="00C64FC7"/>
  </w:style>
  <w:style w:type="table" w:customStyle="1" w:styleId="MediumGrid1-Accent131411">
    <w:name w:val="Medium Grid 1 - Accent 131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11">
    <w:name w:val="Light Grid - Accent 1131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11">
    <w:name w:val="Light Grid - Accent 531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11">
    <w:name w:val="Light Grid - Accent 12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11">
    <w:name w:val="Light List - Accent 531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11">
    <w:name w:val="Light List - Accent 1131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11">
    <w:name w:val="Light Grid - Accent 1331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11">
    <w:name w:val="Medium Grid 1 - Accent 331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11">
    <w:name w:val="Grid Table 4 Accent 3214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11">
    <w:name w:val="Table Grid114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11">
    <w:name w:val="No List5411"/>
    <w:next w:val="NoList"/>
    <w:uiPriority w:val="99"/>
    <w:unhideWhenUsed/>
    <w:rsid w:val="00C64FC7"/>
  </w:style>
  <w:style w:type="table" w:customStyle="1" w:styleId="MediumGrid1-Accent15411">
    <w:name w:val="Medium Grid 1 - Accent 15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11">
    <w:name w:val="Light Grid - Accent 115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11">
    <w:name w:val="Light Grid - Accent 55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11">
    <w:name w:val="Light Grid - Accent 12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11">
    <w:name w:val="Light List - Accent 55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11">
    <w:name w:val="Light List - Accent 115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11">
    <w:name w:val="Light Grid - Accent 135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11">
    <w:name w:val="Medium Grid 1 - Accent 35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11">
    <w:name w:val="No List12411"/>
    <w:next w:val="NoList"/>
    <w:uiPriority w:val="99"/>
    <w:unhideWhenUsed/>
    <w:rsid w:val="00C64FC7"/>
  </w:style>
  <w:style w:type="numbering" w:customStyle="1" w:styleId="NoList22411">
    <w:name w:val="No List22411"/>
    <w:next w:val="NoList"/>
    <w:uiPriority w:val="99"/>
    <w:unhideWhenUsed/>
    <w:rsid w:val="00C64FC7"/>
  </w:style>
  <w:style w:type="numbering" w:customStyle="1" w:styleId="NoList32411">
    <w:name w:val="No List32411"/>
    <w:next w:val="NoList"/>
    <w:uiPriority w:val="99"/>
    <w:unhideWhenUsed/>
    <w:rsid w:val="00C64FC7"/>
  </w:style>
  <w:style w:type="numbering" w:customStyle="1" w:styleId="NoList6411">
    <w:name w:val="No List6411"/>
    <w:next w:val="NoList"/>
    <w:uiPriority w:val="99"/>
    <w:unhideWhenUsed/>
    <w:rsid w:val="00C64FC7"/>
  </w:style>
  <w:style w:type="table" w:customStyle="1" w:styleId="MediumGrid1-Accent16411">
    <w:name w:val="Medium Grid 1 - Accent 164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11">
    <w:name w:val="Light Grid - Accent 1164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11">
    <w:name w:val="Light Grid - Accent 564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11">
    <w:name w:val="Light Grid - Accent 12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11">
    <w:name w:val="Light List - Accent 564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11">
    <w:name w:val="Light List - Accent 1164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11">
    <w:name w:val="Light Grid - Accent 1364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11">
    <w:name w:val="Medium Grid 1 - Accent 364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11">
    <w:name w:val="No List13411"/>
    <w:next w:val="NoList"/>
    <w:uiPriority w:val="99"/>
    <w:unhideWhenUsed/>
    <w:rsid w:val="00C64FC7"/>
  </w:style>
  <w:style w:type="numbering" w:customStyle="1" w:styleId="NoList23411">
    <w:name w:val="No List23411"/>
    <w:next w:val="NoList"/>
    <w:uiPriority w:val="99"/>
    <w:unhideWhenUsed/>
    <w:rsid w:val="00C64FC7"/>
  </w:style>
  <w:style w:type="numbering" w:customStyle="1" w:styleId="NoList33411">
    <w:name w:val="No List33411"/>
    <w:next w:val="NoList"/>
    <w:uiPriority w:val="99"/>
    <w:unhideWhenUsed/>
    <w:rsid w:val="00C64FC7"/>
  </w:style>
  <w:style w:type="numbering" w:customStyle="1" w:styleId="NoList1811">
    <w:name w:val="No List1811"/>
    <w:next w:val="NoList"/>
    <w:uiPriority w:val="99"/>
    <w:unhideWhenUsed/>
    <w:rsid w:val="00C64FC7"/>
  </w:style>
  <w:style w:type="table" w:customStyle="1" w:styleId="TableGrid911">
    <w:name w:val="Table Grid9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11">
    <w:name w:val="Medium Grid 3 - Accent 17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11">
    <w:name w:val="Medium Grid 1 - Accent 11711"/>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11">
    <w:name w:val="Light Grid - Accent 111711"/>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11">
    <w:name w:val="Light Grid - Accent 51711"/>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11">
    <w:name w:val="Light Grid - Accent 121711"/>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11">
    <w:name w:val="Light List - Accent 51711"/>
    <w:basedOn w:val="TableNormal"/>
    <w:next w:val="LightList-Accent5"/>
    <w:uiPriority w:val="61"/>
    <w:locked/>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11">
    <w:name w:val="Light List - Accent 111711"/>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11">
    <w:name w:val="Light Grid - Accent 131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11">
    <w:name w:val="Medium Grid 1 - Accent 31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11">
    <w:name w:val="No List1911"/>
    <w:next w:val="NoList"/>
    <w:uiPriority w:val="99"/>
    <w:unhideWhenUsed/>
    <w:rsid w:val="00C64FC7"/>
  </w:style>
  <w:style w:type="table" w:customStyle="1" w:styleId="MediumGrid1-Accent11811">
    <w:name w:val="Medium Grid 1 - Accent 118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11">
    <w:name w:val="Light Grid - Accent 11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11">
    <w:name w:val="Light Grid - Accent 518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11">
    <w:name w:val="Light Grid - Accent 12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11">
    <w:name w:val="Light List - Accent 518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11">
    <w:name w:val="Light List - Accent 1118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11">
    <w:name w:val="Light Grid - Accent 1318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11">
    <w:name w:val="Medium Grid 1 - Accent 318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11">
    <w:name w:val="Grid Table 4 -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11">
    <w:name w:val="No List2811"/>
    <w:next w:val="NoList"/>
    <w:uiPriority w:val="99"/>
    <w:unhideWhenUsed/>
    <w:rsid w:val="00C64FC7"/>
  </w:style>
  <w:style w:type="table" w:customStyle="1" w:styleId="MediumGrid1-Accent12711">
    <w:name w:val="Medium Grid 1 - Accent 12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11">
    <w:name w:val="Light Grid - Accent 112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11">
    <w:name w:val="Light Grid - Accent 52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11">
    <w:name w:val="Light Grid - Accent 12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11">
    <w:name w:val="Light List - Accent 52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11">
    <w:name w:val="Light List - Accent 112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11">
    <w:name w:val="Light Grid - Accent 132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11">
    <w:name w:val="Medium Grid 1 - Accent 32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11">
    <w:name w:val="Grid Table 4 Accent 31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11">
    <w:name w:val="No List3811"/>
    <w:next w:val="NoList"/>
    <w:uiPriority w:val="99"/>
    <w:unhideWhenUsed/>
    <w:rsid w:val="00C64FC7"/>
  </w:style>
  <w:style w:type="table" w:customStyle="1" w:styleId="MediumGrid1-Accent13711">
    <w:name w:val="Medium Grid 1 - Accent 137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11">
    <w:name w:val="Light Grid - Accent 1137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11">
    <w:name w:val="Light Grid - Accent 537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11">
    <w:name w:val="Light Grid - Accent 12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11">
    <w:name w:val="Light List - Accent 537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11">
    <w:name w:val="Light List - Accent 1137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11">
    <w:name w:val="Light Grid - Accent 1337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11">
    <w:name w:val="Medium Grid 1 - Accent 337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11">
    <w:name w:val="Grid Table 4 Accent 327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11">
    <w:name w:val="Table Grid17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1">
    <w:name w:val="Table Grid2611"/>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11">
    <w:name w:val="No List4511"/>
    <w:next w:val="NoList"/>
    <w:uiPriority w:val="99"/>
    <w:unhideWhenUsed/>
    <w:rsid w:val="00C64FC7"/>
  </w:style>
  <w:style w:type="table" w:customStyle="1" w:styleId="MediumGrid1-Accent14511">
    <w:name w:val="Medium Grid 1 - Accent 14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11">
    <w:name w:val="Light Grid - Accent 114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11">
    <w:name w:val="Light Grid - Accent 54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11">
    <w:name w:val="Light Grid - Accent 12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11">
    <w:name w:val="Light List - Accent 54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11">
    <w:name w:val="Light List - Accent 114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11">
    <w:name w:val="Light Grid - Accent 134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11">
    <w:name w:val="Medium Grid 1 - Accent 34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11">
    <w:name w:val="Table Grid21511"/>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11">
    <w:name w:val="Medium Grid 3 - Accent 11511"/>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11">
    <w:name w:val="No List11511"/>
    <w:next w:val="NoList"/>
    <w:uiPriority w:val="99"/>
    <w:unhideWhenUsed/>
    <w:rsid w:val="00C64FC7"/>
  </w:style>
  <w:style w:type="table" w:customStyle="1" w:styleId="MediumGrid1-Accent111511">
    <w:name w:val="Medium Grid 1 - Accent 11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11">
    <w:name w:val="Light Grid - Accent 11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11">
    <w:name w:val="Light Grid - Accent 511511"/>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11">
    <w:name w:val="Light Grid - Accent 12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11">
    <w:name w:val="Light List - Accent 511511"/>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11">
    <w:name w:val="Light List - Accent 111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11">
    <w:name w:val="Light Grid - Accent 131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11">
    <w:name w:val="Medium Grid 1 - Accent 31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11">
    <w:name w:val="Grid Table 4 -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11">
    <w:name w:val="No List21511"/>
    <w:next w:val="NoList"/>
    <w:uiPriority w:val="99"/>
    <w:unhideWhenUsed/>
    <w:rsid w:val="00C64FC7"/>
  </w:style>
  <w:style w:type="table" w:customStyle="1" w:styleId="MediumGrid1-Accent121511">
    <w:name w:val="Medium Grid 1 - Accent 12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11">
    <w:name w:val="Light Grid - Accent 112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11">
    <w:name w:val="Light Grid - Accent 52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11">
    <w:name w:val="Light Grid - Accent 12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11">
    <w:name w:val="Light List - Accent 52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11">
    <w:name w:val="Light List - Accent 112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11">
    <w:name w:val="Light Grid - Accent 132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11">
    <w:name w:val="Medium Grid 1 - Accent 32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11">
    <w:name w:val="Grid Table 4 Accent 31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11">
    <w:name w:val="No List31511"/>
    <w:next w:val="NoList"/>
    <w:uiPriority w:val="99"/>
    <w:unhideWhenUsed/>
    <w:rsid w:val="00C64FC7"/>
  </w:style>
  <w:style w:type="table" w:customStyle="1" w:styleId="MediumGrid1-Accent131511">
    <w:name w:val="Medium Grid 1 - Accent 131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11">
    <w:name w:val="Light Grid - Accent 1131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11">
    <w:name w:val="Light Grid - Accent 531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11">
    <w:name w:val="Light Grid - Accent 12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11">
    <w:name w:val="Light List - Accent 531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11">
    <w:name w:val="Light List - Accent 1131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11">
    <w:name w:val="Light Grid - Accent 1331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11">
    <w:name w:val="Medium Grid 1 - Accent 331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11">
    <w:name w:val="Grid Table 4 Accent 321511"/>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11">
    <w:name w:val="Table Grid11511"/>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11">
    <w:name w:val="No List5511"/>
    <w:next w:val="NoList"/>
    <w:uiPriority w:val="99"/>
    <w:unhideWhenUsed/>
    <w:rsid w:val="00C64FC7"/>
  </w:style>
  <w:style w:type="table" w:customStyle="1" w:styleId="MediumGrid1-Accent15511">
    <w:name w:val="Medium Grid 1 - Accent 15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11">
    <w:name w:val="Light Grid - Accent 115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11">
    <w:name w:val="Light Grid - Accent 55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11">
    <w:name w:val="Light Grid - Accent 12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11">
    <w:name w:val="Light List - Accent 55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11">
    <w:name w:val="Light List - Accent 115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11">
    <w:name w:val="Light Grid - Accent 135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11">
    <w:name w:val="Medium Grid 1 - Accent 35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11">
    <w:name w:val="No List12511"/>
    <w:next w:val="NoList"/>
    <w:uiPriority w:val="99"/>
    <w:unhideWhenUsed/>
    <w:rsid w:val="00C64FC7"/>
  </w:style>
  <w:style w:type="numbering" w:customStyle="1" w:styleId="NoList22511">
    <w:name w:val="No List22511"/>
    <w:next w:val="NoList"/>
    <w:uiPriority w:val="99"/>
    <w:unhideWhenUsed/>
    <w:rsid w:val="00C64FC7"/>
  </w:style>
  <w:style w:type="numbering" w:customStyle="1" w:styleId="NoList32511">
    <w:name w:val="No List32511"/>
    <w:next w:val="NoList"/>
    <w:uiPriority w:val="99"/>
    <w:unhideWhenUsed/>
    <w:rsid w:val="00C64FC7"/>
  </w:style>
  <w:style w:type="numbering" w:customStyle="1" w:styleId="NoList6511">
    <w:name w:val="No List6511"/>
    <w:next w:val="NoList"/>
    <w:uiPriority w:val="99"/>
    <w:unhideWhenUsed/>
    <w:rsid w:val="00C64FC7"/>
  </w:style>
  <w:style w:type="table" w:customStyle="1" w:styleId="MediumGrid1-Accent16511">
    <w:name w:val="Medium Grid 1 - Accent 16511"/>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11">
    <w:name w:val="Light Grid - Accent 116511"/>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11">
    <w:name w:val="Light Grid - Accent 56511"/>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11">
    <w:name w:val="Light Grid - Accent 12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11">
    <w:name w:val="Light List - Accent 56511"/>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11">
    <w:name w:val="Light List - Accent 116511"/>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11">
    <w:name w:val="Light Grid - Accent 136511"/>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11">
    <w:name w:val="Medium Grid 1 - Accent 36511"/>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11">
    <w:name w:val="No List13511"/>
    <w:next w:val="NoList"/>
    <w:uiPriority w:val="99"/>
    <w:unhideWhenUsed/>
    <w:rsid w:val="00C64FC7"/>
  </w:style>
  <w:style w:type="numbering" w:customStyle="1" w:styleId="NoList23511">
    <w:name w:val="No List23511"/>
    <w:next w:val="NoList"/>
    <w:uiPriority w:val="99"/>
    <w:unhideWhenUsed/>
    <w:rsid w:val="00C64FC7"/>
  </w:style>
  <w:style w:type="numbering" w:customStyle="1" w:styleId="NoList33511">
    <w:name w:val="No List33511"/>
    <w:next w:val="NoList"/>
    <w:uiPriority w:val="99"/>
    <w:unhideWhenUsed/>
    <w:rsid w:val="00C64FC7"/>
  </w:style>
  <w:style w:type="numbering" w:customStyle="1" w:styleId="NoList40">
    <w:name w:val="No List40"/>
    <w:next w:val="NoList"/>
    <w:uiPriority w:val="99"/>
    <w:unhideWhenUsed/>
    <w:rsid w:val="00C64FC7"/>
  </w:style>
  <w:style w:type="table" w:customStyle="1" w:styleId="TableGrid20">
    <w:name w:val="Table Grid20"/>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0">
    <w:name w:val="Medium Grid 3 - Accent 110"/>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30">
    <w:name w:val="Medium Grid 1 - Accent 130"/>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30">
    <w:name w:val="Light Grid - Accent 1130"/>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30">
    <w:name w:val="Light Grid - Accent 530"/>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30">
    <w:name w:val="Light Grid - Accent 1230"/>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30">
    <w:name w:val="Light List - Accent 530"/>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30">
    <w:name w:val="Light List - Accent 1130"/>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30">
    <w:name w:val="Light Grid - Accent 133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30">
    <w:name w:val="Medium Grid 1 - Accent 33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9">
    <w:name w:val="No List119"/>
    <w:next w:val="NoList"/>
    <w:uiPriority w:val="99"/>
    <w:unhideWhenUsed/>
    <w:rsid w:val="00C64FC7"/>
  </w:style>
  <w:style w:type="table" w:customStyle="1" w:styleId="MediumGrid1-Accent1119">
    <w:name w:val="Medium Grid 1 - Accent 1119"/>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9">
    <w:name w:val="Light Grid - Accent 11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9">
    <w:name w:val="Light Grid - Accent 5119"/>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9">
    <w:name w:val="Light Grid - Accent 12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9">
    <w:name w:val="Light List - Accent 5119"/>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9">
    <w:name w:val="Light List - Accent 11119"/>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9">
    <w:name w:val="Light Grid - Accent 13119"/>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9">
    <w:name w:val="Medium Grid 1 - Accent 3119"/>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0">
    <w:name w:val="Grid Table 4 -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8">
    <w:name w:val="No List218"/>
    <w:next w:val="NoList"/>
    <w:uiPriority w:val="99"/>
    <w:unhideWhenUsed/>
    <w:rsid w:val="00C64FC7"/>
  </w:style>
  <w:style w:type="table" w:customStyle="1" w:styleId="MediumGrid1-Accent1210">
    <w:name w:val="Medium Grid 1 - Accent 12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0">
    <w:name w:val="Light Grid - Accent 112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0">
    <w:name w:val="Light Grid - Accent 52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0">
    <w:name w:val="Light Grid - Accent 12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0">
    <w:name w:val="Light List - Accent 52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0">
    <w:name w:val="Light List - Accent 112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0">
    <w:name w:val="Light Grid - Accent 132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0">
    <w:name w:val="Medium Grid 1 - Accent 32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0">
    <w:name w:val="Grid Table 4 Accent 31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8">
    <w:name w:val="No List318"/>
    <w:next w:val="NoList"/>
    <w:uiPriority w:val="99"/>
    <w:unhideWhenUsed/>
    <w:rsid w:val="00C64FC7"/>
  </w:style>
  <w:style w:type="table" w:customStyle="1" w:styleId="MediumGrid1-Accent1310">
    <w:name w:val="Medium Grid 1 - Accent 13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0">
    <w:name w:val="Light Grid - Accent 11310"/>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0">
    <w:name w:val="Light Grid - Accent 5310"/>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0">
    <w:name w:val="Light Grid - Accent 12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0">
    <w:name w:val="Light List - Accent 5310"/>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0">
    <w:name w:val="Light List - Accent 113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0">
    <w:name w:val="Light Grid - Accent 133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0">
    <w:name w:val="Medium Grid 1 - Accent 33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0">
    <w:name w:val="Grid Table 4 Accent 3210"/>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8">
    <w:name w:val="Table Grid118"/>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29"/>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8">
    <w:name w:val="No List48"/>
    <w:next w:val="NoList"/>
    <w:uiPriority w:val="99"/>
    <w:unhideWhenUsed/>
    <w:rsid w:val="00C64FC7"/>
  </w:style>
  <w:style w:type="table" w:customStyle="1" w:styleId="MediumGrid1-Accent148">
    <w:name w:val="Medium Grid 1 - Accent 14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8">
    <w:name w:val="Light Grid - Accent 114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8">
    <w:name w:val="Light Grid - Accent 54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8">
    <w:name w:val="Light Grid - Accent 12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8">
    <w:name w:val="Light List - Accent 54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8">
    <w:name w:val="Light List - Accent 114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8">
    <w:name w:val="Light Grid - Accent 134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8">
    <w:name w:val="Medium Grid 1 - Accent 34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3">
    <w:name w:val="Table Grid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8">
    <w:name w:val="Medium Grid 3 - Accent 118"/>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0">
    <w:name w:val="No List1110"/>
    <w:next w:val="NoList"/>
    <w:uiPriority w:val="99"/>
    <w:unhideWhenUsed/>
    <w:rsid w:val="00C64FC7"/>
  </w:style>
  <w:style w:type="table" w:customStyle="1" w:styleId="MediumGrid1-Accent11110">
    <w:name w:val="Medium Grid 1 - Accent 11110"/>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0">
    <w:name w:val="Light Grid - Accent 11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0">
    <w:name w:val="Light Grid - Accent 51110"/>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0">
    <w:name w:val="Light Grid - Accent 12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0">
    <w:name w:val="Light List - Accent 51110"/>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0">
    <w:name w:val="Light List - Accent 111110"/>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0">
    <w:name w:val="Light Grid - Accent 131110"/>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0">
    <w:name w:val="Medium Grid 1 - Accent 31110"/>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8">
    <w:name w:val="Grid Table 4 -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9">
    <w:name w:val="No List219"/>
    <w:next w:val="NoList"/>
    <w:uiPriority w:val="99"/>
    <w:unhideWhenUsed/>
    <w:rsid w:val="00C64FC7"/>
  </w:style>
  <w:style w:type="table" w:customStyle="1" w:styleId="MediumGrid1-Accent1218">
    <w:name w:val="Medium Grid 1 - Accent 12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8">
    <w:name w:val="Light Grid - Accent 112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8">
    <w:name w:val="Light Grid - Accent 52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8">
    <w:name w:val="Light Grid - Accent 12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8">
    <w:name w:val="Light List - Accent 52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8">
    <w:name w:val="Light List - Accent 112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8">
    <w:name w:val="Light Grid - Accent 132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8">
    <w:name w:val="Medium Grid 1 - Accent 32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8">
    <w:name w:val="Grid Table 4 Accent 31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9">
    <w:name w:val="No List319"/>
    <w:next w:val="NoList"/>
    <w:uiPriority w:val="99"/>
    <w:unhideWhenUsed/>
    <w:rsid w:val="00C64FC7"/>
  </w:style>
  <w:style w:type="table" w:customStyle="1" w:styleId="MediumGrid1-Accent1318">
    <w:name w:val="Medium Grid 1 - Accent 131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8">
    <w:name w:val="Light Grid - Accent 1131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8">
    <w:name w:val="Light Grid - Accent 531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8">
    <w:name w:val="Light Grid - Accent 12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8">
    <w:name w:val="Light List - Accent 531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8">
    <w:name w:val="Light List - Accent 1131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8">
    <w:name w:val="Light Grid - Accent 1331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8">
    <w:name w:val="Medium Grid 1 - Accent 331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8">
    <w:name w:val="Grid Table 4 Accent 3218"/>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9">
    <w:name w:val="Table Grid119"/>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8">
    <w:name w:val="No List58"/>
    <w:next w:val="NoList"/>
    <w:uiPriority w:val="99"/>
    <w:unhideWhenUsed/>
    <w:rsid w:val="00C64FC7"/>
  </w:style>
  <w:style w:type="table" w:customStyle="1" w:styleId="TableGrid43">
    <w:name w:val="Table Grid43"/>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3">
    <w:name w:val="Medium Grid 3 - Accent 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8">
    <w:name w:val="Medium Grid 1 - Accent 158"/>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8">
    <w:name w:val="Light Grid - Accent 1158"/>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8">
    <w:name w:val="Light Grid - Accent 558"/>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8">
    <w:name w:val="Light Grid - Accent 1258"/>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8">
    <w:name w:val="Light List - Accent 558"/>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8">
    <w:name w:val="Light List - Accent 1158"/>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8">
    <w:name w:val="Light Grid - Accent 135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8">
    <w:name w:val="Medium Grid 1 - Accent 35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8">
    <w:name w:val="No List128"/>
    <w:next w:val="NoList"/>
    <w:uiPriority w:val="99"/>
    <w:unhideWhenUsed/>
    <w:rsid w:val="00C64FC7"/>
  </w:style>
  <w:style w:type="table" w:customStyle="1" w:styleId="MediumGrid1-Accent1123">
    <w:name w:val="Medium Grid 1 - Accent 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3">
    <w:name w:val="Light Grid - Accent 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3">
    <w:name w:val="Light Grid - Accent 5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3">
    <w:name w:val="Light Grid - Accent 1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3">
    <w:name w:val="Light List - Accent 5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3">
    <w:name w:val="Light List - Accent 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3">
    <w:name w:val="Light Grid - Accent 1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3">
    <w:name w:val="Medium Grid 1 - Accent 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3">
    <w:name w:val="Grid Table 4 -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8">
    <w:name w:val="No List228"/>
    <w:next w:val="NoList"/>
    <w:uiPriority w:val="99"/>
    <w:unhideWhenUsed/>
    <w:rsid w:val="00C64FC7"/>
  </w:style>
  <w:style w:type="table" w:customStyle="1" w:styleId="MediumGrid1-Accent1223">
    <w:name w:val="Medium Grid 1 - Accent 12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3">
    <w:name w:val="Light Grid - Accent 112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3">
    <w:name w:val="Light Grid - Accent 52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3">
    <w:name w:val="Light Grid - Accent 12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3">
    <w:name w:val="Light List - Accent 52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3">
    <w:name w:val="Light List - Accent 112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3">
    <w:name w:val="Light Grid - Accent 132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3">
    <w:name w:val="Medium Grid 1 - Accent 32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3">
    <w:name w:val="Grid Table 4 Accent 3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8">
    <w:name w:val="No List328"/>
    <w:next w:val="NoList"/>
    <w:uiPriority w:val="99"/>
    <w:unhideWhenUsed/>
    <w:rsid w:val="00C64FC7"/>
  </w:style>
  <w:style w:type="table" w:customStyle="1" w:styleId="MediumGrid1-Accent1323">
    <w:name w:val="Medium Grid 1 - Accent 13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3">
    <w:name w:val="Light Grid - Accent 113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3">
    <w:name w:val="Light Grid - Accent 53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3">
    <w:name w:val="Light Grid - Accent 12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3">
    <w:name w:val="Light List - Accent 53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3">
    <w:name w:val="Light List - Accent 113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3">
    <w:name w:val="Light Grid - Accent 133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3">
    <w:name w:val="Medium Grid 1 - Accent 33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3">
    <w:name w:val="Grid Table 4 Accent 32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3">
    <w:name w:val="Table Grid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8">
    <w:name w:val="Table Grid218"/>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8">
    <w:name w:val="No List68"/>
    <w:next w:val="NoList"/>
    <w:uiPriority w:val="99"/>
    <w:unhideWhenUsed/>
    <w:rsid w:val="00C64FC7"/>
  </w:style>
  <w:style w:type="table" w:customStyle="1" w:styleId="MediumGrid1-Accent168">
    <w:name w:val="Medium Grid 1 - Accent 168"/>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8">
    <w:name w:val="Light Grid - Accent 1168"/>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8">
    <w:name w:val="Light Grid - Accent 568"/>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8">
    <w:name w:val="Light Grid - Accent 12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8">
    <w:name w:val="Light List - Accent 568"/>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8">
    <w:name w:val="Light List - Accent 1168"/>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8">
    <w:name w:val="Light Grid - Accent 1368"/>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8">
    <w:name w:val="Medium Grid 1 - Accent 368"/>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8">
    <w:name w:val="No List138"/>
    <w:next w:val="NoList"/>
    <w:uiPriority w:val="99"/>
    <w:unhideWhenUsed/>
    <w:rsid w:val="00C64FC7"/>
  </w:style>
  <w:style w:type="numbering" w:customStyle="1" w:styleId="NoList238">
    <w:name w:val="No List238"/>
    <w:next w:val="NoList"/>
    <w:uiPriority w:val="99"/>
    <w:unhideWhenUsed/>
    <w:rsid w:val="00C64FC7"/>
  </w:style>
  <w:style w:type="numbering" w:customStyle="1" w:styleId="NoList338">
    <w:name w:val="No List338"/>
    <w:next w:val="NoList"/>
    <w:uiPriority w:val="99"/>
    <w:unhideWhenUsed/>
    <w:rsid w:val="00C64FC7"/>
  </w:style>
  <w:style w:type="numbering" w:customStyle="1" w:styleId="NoList73">
    <w:name w:val="No List73"/>
    <w:next w:val="NoList"/>
    <w:uiPriority w:val="99"/>
    <w:unhideWhenUsed/>
    <w:rsid w:val="00C64FC7"/>
  </w:style>
  <w:style w:type="table" w:customStyle="1" w:styleId="TableGrid53">
    <w:name w:val="Table Grid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3">
    <w:name w:val="Medium Grid 3 - Accent 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3">
    <w:name w:val="Medium Grid 1 - Accent 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3">
    <w:name w:val="Light Grid - Accent 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3">
    <w:name w:val="Light Grid - Accent 5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3">
    <w:name w:val="Light Grid - Accent 12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3">
    <w:name w:val="Light List - Accent 5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3">
    <w:name w:val="Light List - Accent 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3">
    <w:name w:val="Light Grid - Accent 1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3">
    <w:name w:val="Medium Grid 1 - Accent 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3">
    <w:name w:val="No List143"/>
    <w:next w:val="NoList"/>
    <w:uiPriority w:val="99"/>
    <w:unhideWhenUsed/>
    <w:rsid w:val="00C64FC7"/>
  </w:style>
  <w:style w:type="table" w:customStyle="1" w:styleId="MediumGrid1-Accent1133">
    <w:name w:val="Medium Grid 1 - Accent 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3">
    <w:name w:val="Light Grid - Accent 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3">
    <w:name w:val="Light Grid - Accent 5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3">
    <w:name w:val="Light Grid - Accent 1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3">
    <w:name w:val="Light List - Accent 5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3">
    <w:name w:val="Light List - Accent 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3">
    <w:name w:val="Light Grid - Accent 1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3">
    <w:name w:val="Medium Grid 1 - Accent 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3">
    <w:name w:val="Grid Table 4 -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3">
    <w:name w:val="No List243"/>
    <w:next w:val="NoList"/>
    <w:uiPriority w:val="99"/>
    <w:unhideWhenUsed/>
    <w:rsid w:val="00C64FC7"/>
  </w:style>
  <w:style w:type="table" w:customStyle="1" w:styleId="MediumGrid1-Accent1233">
    <w:name w:val="Medium Grid 1 - Accent 12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3">
    <w:name w:val="Light Grid - Accent 112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3">
    <w:name w:val="Light Grid - Accent 52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3">
    <w:name w:val="Light Grid - Accent 12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3">
    <w:name w:val="Light List - Accent 52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3">
    <w:name w:val="Light List - Accent 112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3">
    <w:name w:val="Light Grid - Accent 132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3">
    <w:name w:val="Medium Grid 1 - Accent 32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3">
    <w:name w:val="Grid Table 4 Accent 3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3">
    <w:name w:val="No List343"/>
    <w:next w:val="NoList"/>
    <w:uiPriority w:val="99"/>
    <w:unhideWhenUsed/>
    <w:rsid w:val="00C64FC7"/>
  </w:style>
  <w:style w:type="table" w:customStyle="1" w:styleId="MediumGrid1-Accent1333">
    <w:name w:val="Medium Grid 1 - Accent 13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3">
    <w:name w:val="Light Grid - Accent 113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3">
    <w:name w:val="Light Grid - Accent 53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3">
    <w:name w:val="Light Grid - Accent 12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3">
    <w:name w:val="Light List - Accent 53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3">
    <w:name w:val="Light List - Accent 113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3">
    <w:name w:val="Light Grid - Accent 133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3">
    <w:name w:val="Medium Grid 1 - Accent 33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3">
    <w:name w:val="Grid Table 4 Accent 32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3">
    <w:name w:val="Table Grid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3">
    <w:name w:val="Table Grid22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3">
    <w:name w:val="No List413"/>
    <w:next w:val="NoList"/>
    <w:uiPriority w:val="99"/>
    <w:unhideWhenUsed/>
    <w:rsid w:val="00C64FC7"/>
  </w:style>
  <w:style w:type="table" w:customStyle="1" w:styleId="MediumGrid1-Accent1413">
    <w:name w:val="Medium Grid 1 - Accent 14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3">
    <w:name w:val="Light Grid - Accent 114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3">
    <w:name w:val="Light Grid - Accent 54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3">
    <w:name w:val="Light Grid - Accent 12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3">
    <w:name w:val="Light List - Accent 54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3">
    <w:name w:val="Light List - Accent 114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3">
    <w:name w:val="Light Grid - Accent 134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3">
    <w:name w:val="Medium Grid 1 - Accent 34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3">
    <w:name w:val="Table Grid211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3">
    <w:name w:val="Medium Grid 3 - Accent 111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3">
    <w:name w:val="No List1113"/>
    <w:next w:val="NoList"/>
    <w:uiPriority w:val="99"/>
    <w:unhideWhenUsed/>
    <w:rsid w:val="00C64FC7"/>
  </w:style>
  <w:style w:type="table" w:customStyle="1" w:styleId="MediumGrid1-Accent11113">
    <w:name w:val="Medium Grid 1 - Accent 11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3">
    <w:name w:val="Light Grid - Accent 11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3">
    <w:name w:val="Light Grid - Accent 5111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3">
    <w:name w:val="Light Grid - Accent 12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3">
    <w:name w:val="Light List - Accent 5111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3">
    <w:name w:val="Light List - Accent 111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3">
    <w:name w:val="Light Grid - Accent 131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3">
    <w:name w:val="Medium Grid 1 - Accent 31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3">
    <w:name w:val="Grid Table 4 -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3">
    <w:name w:val="No List2113"/>
    <w:next w:val="NoList"/>
    <w:uiPriority w:val="99"/>
    <w:unhideWhenUsed/>
    <w:rsid w:val="00C64FC7"/>
  </w:style>
  <w:style w:type="table" w:customStyle="1" w:styleId="MediumGrid1-Accent12113">
    <w:name w:val="Medium Grid 1 - Accent 12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3">
    <w:name w:val="Light Grid - Accent 112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3">
    <w:name w:val="Light Grid - Accent 52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3">
    <w:name w:val="Light Grid - Accent 12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3">
    <w:name w:val="Light List - Accent 52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3">
    <w:name w:val="Light List - Accent 112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3">
    <w:name w:val="Light Grid - Accent 132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3">
    <w:name w:val="Medium Grid 1 - Accent 32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3">
    <w:name w:val="Grid Table 4 Accent 31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3">
    <w:name w:val="No List3113"/>
    <w:next w:val="NoList"/>
    <w:uiPriority w:val="99"/>
    <w:unhideWhenUsed/>
    <w:rsid w:val="00C64FC7"/>
  </w:style>
  <w:style w:type="table" w:customStyle="1" w:styleId="MediumGrid1-Accent13113">
    <w:name w:val="Medium Grid 1 - Accent 131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3">
    <w:name w:val="Light Grid - Accent 1131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3">
    <w:name w:val="Light Grid - Accent 531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3">
    <w:name w:val="Light Grid - Accent 12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3">
    <w:name w:val="Light List - Accent 531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3">
    <w:name w:val="Light List - Accent 1131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3">
    <w:name w:val="Light Grid - Accent 1331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3">
    <w:name w:val="Medium Grid 1 - Accent 331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3">
    <w:name w:val="Grid Table 4 Accent 3211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3">
    <w:name w:val="Table Grid111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3">
    <w:name w:val="No List513"/>
    <w:next w:val="NoList"/>
    <w:uiPriority w:val="99"/>
    <w:unhideWhenUsed/>
    <w:rsid w:val="00C64FC7"/>
  </w:style>
  <w:style w:type="table" w:customStyle="1" w:styleId="MediumGrid1-Accent1513">
    <w:name w:val="Medium Grid 1 - Accent 15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3">
    <w:name w:val="Light Grid - Accent 115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3">
    <w:name w:val="Light Grid - Accent 55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3">
    <w:name w:val="Light Grid - Accent 12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3">
    <w:name w:val="Light List - Accent 55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3">
    <w:name w:val="Light List - Accent 115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3">
    <w:name w:val="Light Grid - Accent 135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3">
    <w:name w:val="Medium Grid 1 - Accent 35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3">
    <w:name w:val="No List1213"/>
    <w:next w:val="NoList"/>
    <w:uiPriority w:val="99"/>
    <w:unhideWhenUsed/>
    <w:rsid w:val="00C64FC7"/>
  </w:style>
  <w:style w:type="numbering" w:customStyle="1" w:styleId="NoList2213">
    <w:name w:val="No List2213"/>
    <w:next w:val="NoList"/>
    <w:uiPriority w:val="99"/>
    <w:unhideWhenUsed/>
    <w:rsid w:val="00C64FC7"/>
  </w:style>
  <w:style w:type="numbering" w:customStyle="1" w:styleId="NoList3213">
    <w:name w:val="No List3213"/>
    <w:next w:val="NoList"/>
    <w:uiPriority w:val="99"/>
    <w:unhideWhenUsed/>
    <w:rsid w:val="00C64FC7"/>
  </w:style>
  <w:style w:type="numbering" w:customStyle="1" w:styleId="NoList613">
    <w:name w:val="No List613"/>
    <w:next w:val="NoList"/>
    <w:uiPriority w:val="99"/>
    <w:unhideWhenUsed/>
    <w:rsid w:val="00C64FC7"/>
  </w:style>
  <w:style w:type="table" w:customStyle="1" w:styleId="MediumGrid1-Accent1613">
    <w:name w:val="Medium Grid 1 - Accent 161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3">
    <w:name w:val="Light Grid - Accent 1161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3">
    <w:name w:val="Light Grid - Accent 561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3">
    <w:name w:val="Light Grid - Accent 12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3">
    <w:name w:val="Light List - Accent 561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3">
    <w:name w:val="Light List - Accent 1161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3">
    <w:name w:val="Light Grid - Accent 1361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3">
    <w:name w:val="Medium Grid 1 - Accent 361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3">
    <w:name w:val="No List1313"/>
    <w:next w:val="NoList"/>
    <w:uiPriority w:val="99"/>
    <w:unhideWhenUsed/>
    <w:rsid w:val="00C64FC7"/>
  </w:style>
  <w:style w:type="numbering" w:customStyle="1" w:styleId="NoList2313">
    <w:name w:val="No List2313"/>
    <w:next w:val="NoList"/>
    <w:uiPriority w:val="99"/>
    <w:unhideWhenUsed/>
    <w:rsid w:val="00C64FC7"/>
  </w:style>
  <w:style w:type="numbering" w:customStyle="1" w:styleId="NoList3313">
    <w:name w:val="No List3313"/>
    <w:next w:val="NoList"/>
    <w:uiPriority w:val="99"/>
    <w:unhideWhenUsed/>
    <w:rsid w:val="00C64FC7"/>
  </w:style>
  <w:style w:type="numbering" w:customStyle="1" w:styleId="NoList83">
    <w:name w:val="No List83"/>
    <w:next w:val="NoList"/>
    <w:uiPriority w:val="99"/>
    <w:unhideWhenUsed/>
    <w:rsid w:val="00C64FC7"/>
  </w:style>
  <w:style w:type="table" w:customStyle="1" w:styleId="TableGrid63">
    <w:name w:val="Table Grid6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3">
    <w:name w:val="Medium Grid 3 - Accent 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3">
    <w:name w:val="Medium Grid 1 - Accent 18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3">
    <w:name w:val="Light Grid - Accent 118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3">
    <w:name w:val="Light Grid - Accent 58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3">
    <w:name w:val="Light Grid - Accent 128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3">
    <w:name w:val="Light List - Accent 58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3">
    <w:name w:val="Light List - Accent 118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3">
    <w:name w:val="Light Grid - Accent 13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3">
    <w:name w:val="Medium Grid 1 - Accent 3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3">
    <w:name w:val="No List153"/>
    <w:next w:val="NoList"/>
    <w:uiPriority w:val="99"/>
    <w:unhideWhenUsed/>
    <w:rsid w:val="00C64FC7"/>
  </w:style>
  <w:style w:type="table" w:customStyle="1" w:styleId="MediumGrid1-Accent1143">
    <w:name w:val="Medium Grid 1 - Accent 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3">
    <w:name w:val="Light Grid - Accent 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3">
    <w:name w:val="Light Grid - Accent 5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3">
    <w:name w:val="Light Grid - Accent 1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3">
    <w:name w:val="Light List - Accent 5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3">
    <w:name w:val="Light List - Accent 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3">
    <w:name w:val="Light Grid - Accent 1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3">
    <w:name w:val="Medium Grid 1 - Accent 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3">
    <w:name w:val="Grid Table 4 -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3">
    <w:name w:val="No List253"/>
    <w:next w:val="NoList"/>
    <w:uiPriority w:val="99"/>
    <w:unhideWhenUsed/>
    <w:rsid w:val="00C64FC7"/>
  </w:style>
  <w:style w:type="table" w:customStyle="1" w:styleId="MediumGrid1-Accent1243">
    <w:name w:val="Medium Grid 1 - Accent 12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3">
    <w:name w:val="Light Grid - Accent 112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3">
    <w:name w:val="Light Grid - Accent 52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3">
    <w:name w:val="Light Grid - Accent 12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3">
    <w:name w:val="Light List - Accent 52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3">
    <w:name w:val="Light List - Accent 112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3">
    <w:name w:val="Light Grid - Accent 132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3">
    <w:name w:val="Medium Grid 1 - Accent 32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3">
    <w:name w:val="Grid Table 4 Accent 3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3">
    <w:name w:val="No List353"/>
    <w:next w:val="NoList"/>
    <w:uiPriority w:val="99"/>
    <w:unhideWhenUsed/>
    <w:rsid w:val="00C64FC7"/>
  </w:style>
  <w:style w:type="table" w:customStyle="1" w:styleId="MediumGrid1-Accent1343">
    <w:name w:val="Medium Grid 1 - Accent 13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3">
    <w:name w:val="Light Grid - Accent 113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3">
    <w:name w:val="Light Grid - Accent 53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3">
    <w:name w:val="Light Grid - Accent 12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3">
    <w:name w:val="Light List - Accent 53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3">
    <w:name w:val="Light List - Accent 113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3">
    <w:name w:val="Light Grid - Accent 133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3">
    <w:name w:val="Medium Grid 1 - Accent 33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3">
    <w:name w:val="Grid Table 4 Accent 32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3">
    <w:name w:val="Table Grid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3">
    <w:name w:val="Table Grid23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3">
    <w:name w:val="No List423"/>
    <w:next w:val="NoList"/>
    <w:uiPriority w:val="99"/>
    <w:unhideWhenUsed/>
    <w:rsid w:val="00C64FC7"/>
  </w:style>
  <w:style w:type="table" w:customStyle="1" w:styleId="MediumGrid1-Accent1423">
    <w:name w:val="Medium Grid 1 - Accent 14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3">
    <w:name w:val="Light Grid - Accent 114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3">
    <w:name w:val="Light Grid - Accent 54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3">
    <w:name w:val="Light Grid - Accent 12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3">
    <w:name w:val="Light List - Accent 54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3">
    <w:name w:val="Light List - Accent 114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3">
    <w:name w:val="Light Grid - Accent 134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3">
    <w:name w:val="Medium Grid 1 - Accent 34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3">
    <w:name w:val="Table Grid212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3">
    <w:name w:val="Medium Grid 3 - Accent 112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3">
    <w:name w:val="No List1123"/>
    <w:next w:val="NoList"/>
    <w:uiPriority w:val="99"/>
    <w:unhideWhenUsed/>
    <w:rsid w:val="00C64FC7"/>
  </w:style>
  <w:style w:type="table" w:customStyle="1" w:styleId="MediumGrid1-Accent11123">
    <w:name w:val="Medium Grid 1 - Accent 11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3">
    <w:name w:val="Light Grid - Accent 11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3">
    <w:name w:val="Light Grid - Accent 5112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3">
    <w:name w:val="Light Grid - Accent 12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3">
    <w:name w:val="Light List - Accent 5112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3">
    <w:name w:val="Light List - Accent 111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3">
    <w:name w:val="Light Grid - Accent 131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3">
    <w:name w:val="Medium Grid 1 - Accent 31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3">
    <w:name w:val="Grid Table 4 -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3">
    <w:name w:val="No List2123"/>
    <w:next w:val="NoList"/>
    <w:uiPriority w:val="99"/>
    <w:unhideWhenUsed/>
    <w:rsid w:val="00C64FC7"/>
  </w:style>
  <w:style w:type="table" w:customStyle="1" w:styleId="MediumGrid1-Accent12123">
    <w:name w:val="Medium Grid 1 - Accent 12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3">
    <w:name w:val="Light Grid - Accent 112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3">
    <w:name w:val="Light Grid - Accent 52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3">
    <w:name w:val="Light Grid - Accent 12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3">
    <w:name w:val="Light List - Accent 52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3">
    <w:name w:val="Light List - Accent 112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3">
    <w:name w:val="Light Grid - Accent 132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3">
    <w:name w:val="Medium Grid 1 - Accent 32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3">
    <w:name w:val="Grid Table 4 Accent 31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3">
    <w:name w:val="No List3123"/>
    <w:next w:val="NoList"/>
    <w:uiPriority w:val="99"/>
    <w:unhideWhenUsed/>
    <w:rsid w:val="00C64FC7"/>
  </w:style>
  <w:style w:type="table" w:customStyle="1" w:styleId="MediumGrid1-Accent13123">
    <w:name w:val="Medium Grid 1 - Accent 131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3">
    <w:name w:val="Light Grid - Accent 1131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3">
    <w:name w:val="Light Grid - Accent 531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3">
    <w:name w:val="Light Grid - Accent 12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3">
    <w:name w:val="Light List - Accent 531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3">
    <w:name w:val="Light List - Accent 1131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3">
    <w:name w:val="Light Grid - Accent 1331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3">
    <w:name w:val="Medium Grid 1 - Accent 331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3">
    <w:name w:val="Grid Table 4 Accent 3212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3">
    <w:name w:val="Table Grid112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3">
    <w:name w:val="No List523"/>
    <w:next w:val="NoList"/>
    <w:uiPriority w:val="99"/>
    <w:unhideWhenUsed/>
    <w:rsid w:val="00C64FC7"/>
  </w:style>
  <w:style w:type="table" w:customStyle="1" w:styleId="MediumGrid1-Accent1523">
    <w:name w:val="Medium Grid 1 - Accent 15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3">
    <w:name w:val="Light Grid - Accent 115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3">
    <w:name w:val="Light Grid - Accent 55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3">
    <w:name w:val="Light Grid - Accent 12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3">
    <w:name w:val="Light List - Accent 55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3">
    <w:name w:val="Light List - Accent 115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3">
    <w:name w:val="Light Grid - Accent 135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3">
    <w:name w:val="Medium Grid 1 - Accent 35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3">
    <w:name w:val="No List1223"/>
    <w:next w:val="NoList"/>
    <w:uiPriority w:val="99"/>
    <w:unhideWhenUsed/>
    <w:rsid w:val="00C64FC7"/>
  </w:style>
  <w:style w:type="numbering" w:customStyle="1" w:styleId="NoList2223">
    <w:name w:val="No List2223"/>
    <w:next w:val="NoList"/>
    <w:uiPriority w:val="99"/>
    <w:unhideWhenUsed/>
    <w:rsid w:val="00C64FC7"/>
  </w:style>
  <w:style w:type="numbering" w:customStyle="1" w:styleId="NoList3223">
    <w:name w:val="No List3223"/>
    <w:next w:val="NoList"/>
    <w:uiPriority w:val="99"/>
    <w:unhideWhenUsed/>
    <w:rsid w:val="00C64FC7"/>
  </w:style>
  <w:style w:type="numbering" w:customStyle="1" w:styleId="NoList623">
    <w:name w:val="No List623"/>
    <w:next w:val="NoList"/>
    <w:uiPriority w:val="99"/>
    <w:unhideWhenUsed/>
    <w:rsid w:val="00C64FC7"/>
  </w:style>
  <w:style w:type="table" w:customStyle="1" w:styleId="MediumGrid1-Accent1623">
    <w:name w:val="Medium Grid 1 - Accent 162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3">
    <w:name w:val="Light Grid - Accent 1162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3">
    <w:name w:val="Light Grid - Accent 562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3">
    <w:name w:val="Light Grid - Accent 12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3">
    <w:name w:val="Light List - Accent 562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3">
    <w:name w:val="Light List - Accent 1162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3">
    <w:name w:val="Light Grid - Accent 1362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3">
    <w:name w:val="Medium Grid 1 - Accent 362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3">
    <w:name w:val="No List1323"/>
    <w:next w:val="NoList"/>
    <w:uiPriority w:val="99"/>
    <w:unhideWhenUsed/>
    <w:rsid w:val="00C64FC7"/>
  </w:style>
  <w:style w:type="numbering" w:customStyle="1" w:styleId="NoList2323">
    <w:name w:val="No List2323"/>
    <w:next w:val="NoList"/>
    <w:uiPriority w:val="99"/>
    <w:unhideWhenUsed/>
    <w:rsid w:val="00C64FC7"/>
  </w:style>
  <w:style w:type="numbering" w:customStyle="1" w:styleId="NoList3323">
    <w:name w:val="No List3323"/>
    <w:next w:val="NoList"/>
    <w:uiPriority w:val="99"/>
    <w:unhideWhenUsed/>
    <w:rsid w:val="00C64FC7"/>
  </w:style>
  <w:style w:type="numbering" w:customStyle="1" w:styleId="NoList93">
    <w:name w:val="No List93"/>
    <w:next w:val="NoList"/>
    <w:uiPriority w:val="99"/>
    <w:unhideWhenUsed/>
    <w:rsid w:val="00C64FC7"/>
  </w:style>
  <w:style w:type="table" w:customStyle="1" w:styleId="TableGrid73">
    <w:name w:val="Table Grid7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3">
    <w:name w:val="Medium Grid 3 - Accent 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3">
    <w:name w:val="Medium Grid 1 - Accent 19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3">
    <w:name w:val="Light Grid - Accent 119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3">
    <w:name w:val="Light Grid - Accent 59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3">
    <w:name w:val="Light Grid - Accent 129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3">
    <w:name w:val="Light List - Accent 59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3">
    <w:name w:val="Light List - Accent 119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3">
    <w:name w:val="Light Grid - Accent 139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3">
    <w:name w:val="Medium Grid 1 - Accent 39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3">
    <w:name w:val="No List163"/>
    <w:next w:val="NoList"/>
    <w:uiPriority w:val="99"/>
    <w:unhideWhenUsed/>
    <w:rsid w:val="00C64FC7"/>
  </w:style>
  <w:style w:type="table" w:customStyle="1" w:styleId="MediumGrid1-Accent1153">
    <w:name w:val="Medium Grid 1 - Accent 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3">
    <w:name w:val="Light Grid - Accent 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3">
    <w:name w:val="Light Grid - Accent 5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3">
    <w:name w:val="Light Grid - Accent 1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3">
    <w:name w:val="Light List - Accent 5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3">
    <w:name w:val="Light List - Accent 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3">
    <w:name w:val="Light Grid - Accent 1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3">
    <w:name w:val="Medium Grid 1 - Accent 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3">
    <w:name w:val="Grid Table 4 -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3">
    <w:name w:val="No List263"/>
    <w:next w:val="NoList"/>
    <w:uiPriority w:val="99"/>
    <w:unhideWhenUsed/>
    <w:rsid w:val="00C64FC7"/>
  </w:style>
  <w:style w:type="table" w:customStyle="1" w:styleId="MediumGrid1-Accent1253">
    <w:name w:val="Medium Grid 1 - Accent 12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3">
    <w:name w:val="Light Grid - Accent 112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3">
    <w:name w:val="Light Grid - Accent 52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3">
    <w:name w:val="Light Grid - Accent 12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3">
    <w:name w:val="Light List - Accent 52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3">
    <w:name w:val="Light List - Accent 112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3">
    <w:name w:val="Light Grid - Accent 132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3">
    <w:name w:val="Medium Grid 1 - Accent 32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3">
    <w:name w:val="Grid Table 4 Accent 3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3">
    <w:name w:val="No List363"/>
    <w:next w:val="NoList"/>
    <w:uiPriority w:val="99"/>
    <w:unhideWhenUsed/>
    <w:rsid w:val="00C64FC7"/>
  </w:style>
  <w:style w:type="table" w:customStyle="1" w:styleId="MediumGrid1-Accent1353">
    <w:name w:val="Medium Grid 1 - Accent 13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3">
    <w:name w:val="Light Grid - Accent 113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3">
    <w:name w:val="Light Grid - Accent 53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3">
    <w:name w:val="Light Grid - Accent 12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3">
    <w:name w:val="Light List - Accent 53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3">
    <w:name w:val="Light List - Accent 113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3">
    <w:name w:val="Light Grid - Accent 133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3">
    <w:name w:val="Medium Grid 1 - Accent 33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3">
    <w:name w:val="Grid Table 4 Accent 32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3">
    <w:name w:val="Table Grid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3">
    <w:name w:val="Table Grid24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3">
    <w:name w:val="No List433"/>
    <w:next w:val="NoList"/>
    <w:uiPriority w:val="99"/>
    <w:unhideWhenUsed/>
    <w:rsid w:val="00C64FC7"/>
  </w:style>
  <w:style w:type="table" w:customStyle="1" w:styleId="MediumGrid1-Accent1433">
    <w:name w:val="Medium Grid 1 - Accent 14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3">
    <w:name w:val="Light Grid - Accent 114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3">
    <w:name w:val="Light Grid - Accent 54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3">
    <w:name w:val="Light Grid - Accent 12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3">
    <w:name w:val="Light List - Accent 54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3">
    <w:name w:val="Light List - Accent 114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3">
    <w:name w:val="Light Grid - Accent 134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3">
    <w:name w:val="Medium Grid 1 - Accent 34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3">
    <w:name w:val="Table Grid213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3">
    <w:name w:val="Medium Grid 3 - Accent 113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3">
    <w:name w:val="No List1133"/>
    <w:next w:val="NoList"/>
    <w:uiPriority w:val="99"/>
    <w:unhideWhenUsed/>
    <w:rsid w:val="00C64FC7"/>
  </w:style>
  <w:style w:type="table" w:customStyle="1" w:styleId="MediumGrid1-Accent11133">
    <w:name w:val="Medium Grid 1 - Accent 11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3">
    <w:name w:val="Light Grid - Accent 11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3">
    <w:name w:val="Light Grid - Accent 5113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3">
    <w:name w:val="Light Grid - Accent 12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3">
    <w:name w:val="Light List - Accent 5113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3">
    <w:name w:val="Light List - Accent 111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3">
    <w:name w:val="Light Grid - Accent 131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3">
    <w:name w:val="Medium Grid 1 - Accent 31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3">
    <w:name w:val="Grid Table 4 -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3">
    <w:name w:val="No List2133"/>
    <w:next w:val="NoList"/>
    <w:uiPriority w:val="99"/>
    <w:unhideWhenUsed/>
    <w:rsid w:val="00C64FC7"/>
  </w:style>
  <w:style w:type="table" w:customStyle="1" w:styleId="MediumGrid1-Accent12133">
    <w:name w:val="Medium Grid 1 - Accent 12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3">
    <w:name w:val="Light Grid - Accent 112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3">
    <w:name w:val="Light Grid - Accent 52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3">
    <w:name w:val="Light Grid - Accent 12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3">
    <w:name w:val="Light List - Accent 52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3">
    <w:name w:val="Light List - Accent 112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3">
    <w:name w:val="Light Grid - Accent 132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3">
    <w:name w:val="Medium Grid 1 - Accent 32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3">
    <w:name w:val="Grid Table 4 Accent 31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3">
    <w:name w:val="No List3133"/>
    <w:next w:val="NoList"/>
    <w:uiPriority w:val="99"/>
    <w:unhideWhenUsed/>
    <w:rsid w:val="00C64FC7"/>
  </w:style>
  <w:style w:type="table" w:customStyle="1" w:styleId="MediumGrid1-Accent13133">
    <w:name w:val="Medium Grid 1 - Accent 131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3">
    <w:name w:val="Light Grid - Accent 1131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3">
    <w:name w:val="Light Grid - Accent 531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3">
    <w:name w:val="Light Grid - Accent 12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3">
    <w:name w:val="Light List - Accent 531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3">
    <w:name w:val="Light List - Accent 1131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3">
    <w:name w:val="Light Grid - Accent 1331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3">
    <w:name w:val="Medium Grid 1 - Accent 331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3">
    <w:name w:val="Grid Table 4 Accent 3213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3">
    <w:name w:val="Table Grid113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3">
    <w:name w:val="No List533"/>
    <w:next w:val="NoList"/>
    <w:uiPriority w:val="99"/>
    <w:unhideWhenUsed/>
    <w:rsid w:val="00C64FC7"/>
  </w:style>
  <w:style w:type="table" w:customStyle="1" w:styleId="MediumGrid1-Accent1533">
    <w:name w:val="Medium Grid 1 - Accent 15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3">
    <w:name w:val="Light Grid - Accent 115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3">
    <w:name w:val="Light Grid - Accent 55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3">
    <w:name w:val="Light Grid - Accent 12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3">
    <w:name w:val="Light List - Accent 55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3">
    <w:name w:val="Light List - Accent 115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3">
    <w:name w:val="Light Grid - Accent 135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3">
    <w:name w:val="Medium Grid 1 - Accent 35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3">
    <w:name w:val="No List1233"/>
    <w:next w:val="NoList"/>
    <w:uiPriority w:val="99"/>
    <w:unhideWhenUsed/>
    <w:rsid w:val="00C64FC7"/>
  </w:style>
  <w:style w:type="numbering" w:customStyle="1" w:styleId="NoList2233">
    <w:name w:val="No List2233"/>
    <w:next w:val="NoList"/>
    <w:uiPriority w:val="99"/>
    <w:unhideWhenUsed/>
    <w:rsid w:val="00C64FC7"/>
  </w:style>
  <w:style w:type="numbering" w:customStyle="1" w:styleId="NoList3233">
    <w:name w:val="No List3233"/>
    <w:next w:val="NoList"/>
    <w:uiPriority w:val="99"/>
    <w:unhideWhenUsed/>
    <w:rsid w:val="00C64FC7"/>
  </w:style>
  <w:style w:type="numbering" w:customStyle="1" w:styleId="NoList633">
    <w:name w:val="No List633"/>
    <w:next w:val="NoList"/>
    <w:uiPriority w:val="99"/>
    <w:unhideWhenUsed/>
    <w:rsid w:val="00C64FC7"/>
  </w:style>
  <w:style w:type="table" w:customStyle="1" w:styleId="MediumGrid1-Accent1633">
    <w:name w:val="Medium Grid 1 - Accent 163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3">
    <w:name w:val="Light Grid - Accent 1163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3">
    <w:name w:val="Light Grid - Accent 563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3">
    <w:name w:val="Light Grid - Accent 12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3">
    <w:name w:val="Light List - Accent 563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3">
    <w:name w:val="Light List - Accent 1163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3">
    <w:name w:val="Light Grid - Accent 1363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3">
    <w:name w:val="Medium Grid 1 - Accent 363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3">
    <w:name w:val="No List1333"/>
    <w:next w:val="NoList"/>
    <w:uiPriority w:val="99"/>
    <w:unhideWhenUsed/>
    <w:rsid w:val="00C64FC7"/>
  </w:style>
  <w:style w:type="numbering" w:customStyle="1" w:styleId="NoList2333">
    <w:name w:val="No List2333"/>
    <w:next w:val="NoList"/>
    <w:uiPriority w:val="99"/>
    <w:unhideWhenUsed/>
    <w:rsid w:val="00C64FC7"/>
  </w:style>
  <w:style w:type="numbering" w:customStyle="1" w:styleId="NoList3333">
    <w:name w:val="No List3333"/>
    <w:next w:val="NoList"/>
    <w:uiPriority w:val="99"/>
    <w:unhideWhenUsed/>
    <w:rsid w:val="00C64FC7"/>
  </w:style>
  <w:style w:type="numbering" w:customStyle="1" w:styleId="NoList103">
    <w:name w:val="No List103"/>
    <w:next w:val="NoList"/>
    <w:uiPriority w:val="99"/>
    <w:unhideWhenUsed/>
    <w:rsid w:val="00C64FC7"/>
  </w:style>
  <w:style w:type="table" w:customStyle="1" w:styleId="TableGrid83">
    <w:name w:val="Table Grid8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3">
    <w:name w:val="Medium Grid 3 - Accent 16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3">
    <w:name w:val="Medium Grid 1 - Accent 110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3">
    <w:name w:val="Light Grid - Accent 1110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3">
    <w:name w:val="Light Grid - Accent 510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3">
    <w:name w:val="Light Grid - Accent 1210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3">
    <w:name w:val="Light List - Accent 510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3">
    <w:name w:val="Light List - Accent 1110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3">
    <w:name w:val="Light Grid - Accent 1310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3">
    <w:name w:val="Medium Grid 1 - Accent 310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3">
    <w:name w:val="No List173"/>
    <w:next w:val="NoList"/>
    <w:uiPriority w:val="99"/>
    <w:unhideWhenUsed/>
    <w:rsid w:val="00C64FC7"/>
  </w:style>
  <w:style w:type="table" w:customStyle="1" w:styleId="MediumGrid1-Accent1163">
    <w:name w:val="Medium Grid 1 - Accent 11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3">
    <w:name w:val="Light Grid - Accent 11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3">
    <w:name w:val="Light Grid - Accent 516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3">
    <w:name w:val="Light Grid - Accent 12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3">
    <w:name w:val="Light List - Accent 516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3">
    <w:name w:val="Light List - Accent 111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3">
    <w:name w:val="Light Grid - Accent 131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3">
    <w:name w:val="Medium Grid 1 - Accent 31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3">
    <w:name w:val="Grid Table 4 -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3">
    <w:name w:val="No List273"/>
    <w:next w:val="NoList"/>
    <w:uiPriority w:val="99"/>
    <w:unhideWhenUsed/>
    <w:rsid w:val="00C64FC7"/>
  </w:style>
  <w:style w:type="table" w:customStyle="1" w:styleId="MediumGrid1-Accent1263">
    <w:name w:val="Medium Grid 1 - Accent 12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3">
    <w:name w:val="Light Grid - Accent 112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3">
    <w:name w:val="Light Grid - Accent 52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3">
    <w:name w:val="Light Grid - Accent 12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3">
    <w:name w:val="Light List - Accent 52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3">
    <w:name w:val="Light List - Accent 112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3">
    <w:name w:val="Light Grid - Accent 132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3">
    <w:name w:val="Medium Grid 1 - Accent 32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3">
    <w:name w:val="Grid Table 4 Accent 31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3">
    <w:name w:val="No List373"/>
    <w:next w:val="NoList"/>
    <w:uiPriority w:val="99"/>
    <w:unhideWhenUsed/>
    <w:rsid w:val="00C64FC7"/>
  </w:style>
  <w:style w:type="table" w:customStyle="1" w:styleId="MediumGrid1-Accent1363">
    <w:name w:val="Medium Grid 1 - Accent 136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3">
    <w:name w:val="Light Grid - Accent 1136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3">
    <w:name w:val="Light Grid - Accent 536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3">
    <w:name w:val="Light Grid - Accent 12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3">
    <w:name w:val="Light List - Accent 536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3">
    <w:name w:val="Light List - Accent 1136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3">
    <w:name w:val="Light Grid - Accent 1336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3">
    <w:name w:val="Medium Grid 1 - Accent 336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3">
    <w:name w:val="Grid Table 4 Accent 326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3">
    <w:name w:val="Table Grid16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3">
    <w:name w:val="Table Grid25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3">
    <w:name w:val="No List443"/>
    <w:next w:val="NoList"/>
    <w:uiPriority w:val="99"/>
    <w:unhideWhenUsed/>
    <w:rsid w:val="00C64FC7"/>
  </w:style>
  <w:style w:type="table" w:customStyle="1" w:styleId="MediumGrid1-Accent1443">
    <w:name w:val="Medium Grid 1 - Accent 14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3">
    <w:name w:val="Light Grid - Accent 114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3">
    <w:name w:val="Light Grid - Accent 54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3">
    <w:name w:val="Light Grid - Accent 12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3">
    <w:name w:val="Light List - Accent 54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3">
    <w:name w:val="Light List - Accent 114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3">
    <w:name w:val="Light Grid - Accent 134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3">
    <w:name w:val="Medium Grid 1 - Accent 34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3">
    <w:name w:val="Table Grid214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3">
    <w:name w:val="Medium Grid 3 - Accent 114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3">
    <w:name w:val="No List1143"/>
    <w:next w:val="NoList"/>
    <w:uiPriority w:val="99"/>
    <w:unhideWhenUsed/>
    <w:rsid w:val="00C64FC7"/>
  </w:style>
  <w:style w:type="table" w:customStyle="1" w:styleId="MediumGrid1-Accent11143">
    <w:name w:val="Medium Grid 1 - Accent 11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3">
    <w:name w:val="Light Grid - Accent 11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3">
    <w:name w:val="Light Grid - Accent 5114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3">
    <w:name w:val="Light Grid - Accent 12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3">
    <w:name w:val="Light List - Accent 5114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3">
    <w:name w:val="Light List - Accent 111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3">
    <w:name w:val="Light Grid - Accent 131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3">
    <w:name w:val="Medium Grid 1 - Accent 31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3">
    <w:name w:val="Grid Table 4 -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3">
    <w:name w:val="No List2143"/>
    <w:next w:val="NoList"/>
    <w:uiPriority w:val="99"/>
    <w:unhideWhenUsed/>
    <w:rsid w:val="00C64FC7"/>
  </w:style>
  <w:style w:type="table" w:customStyle="1" w:styleId="MediumGrid1-Accent12143">
    <w:name w:val="Medium Grid 1 - Accent 12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3">
    <w:name w:val="Light Grid - Accent 112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3">
    <w:name w:val="Light Grid - Accent 52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3">
    <w:name w:val="Light Grid - Accent 12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3">
    <w:name w:val="Light List - Accent 52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43">
    <w:name w:val="Light List - Accent 112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43">
    <w:name w:val="Light Grid - Accent 132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43">
    <w:name w:val="Medium Grid 1 - Accent 32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43">
    <w:name w:val="Grid Table 4 Accent 31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43">
    <w:name w:val="No List3143"/>
    <w:next w:val="NoList"/>
    <w:uiPriority w:val="99"/>
    <w:unhideWhenUsed/>
    <w:rsid w:val="00C64FC7"/>
  </w:style>
  <w:style w:type="table" w:customStyle="1" w:styleId="MediumGrid1-Accent13143">
    <w:name w:val="Medium Grid 1 - Accent 131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43">
    <w:name w:val="Light Grid - Accent 1131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43">
    <w:name w:val="Light Grid - Accent 531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43">
    <w:name w:val="Light Grid - Accent 12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43">
    <w:name w:val="Light List - Accent 531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43">
    <w:name w:val="Light List - Accent 1131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43">
    <w:name w:val="Light Grid - Accent 1331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43">
    <w:name w:val="Medium Grid 1 - Accent 331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43">
    <w:name w:val="Grid Table 4 Accent 3214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43">
    <w:name w:val="Table Grid114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43">
    <w:name w:val="No List543"/>
    <w:next w:val="NoList"/>
    <w:uiPriority w:val="99"/>
    <w:unhideWhenUsed/>
    <w:rsid w:val="00C64FC7"/>
  </w:style>
  <w:style w:type="table" w:customStyle="1" w:styleId="MediumGrid1-Accent1543">
    <w:name w:val="Medium Grid 1 - Accent 15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43">
    <w:name w:val="Light Grid - Accent 115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43">
    <w:name w:val="Light Grid - Accent 55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43">
    <w:name w:val="Light Grid - Accent 12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43">
    <w:name w:val="Light List - Accent 55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43">
    <w:name w:val="Light List - Accent 115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43">
    <w:name w:val="Light Grid - Accent 135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43">
    <w:name w:val="Medium Grid 1 - Accent 35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43">
    <w:name w:val="No List1243"/>
    <w:next w:val="NoList"/>
    <w:uiPriority w:val="99"/>
    <w:unhideWhenUsed/>
    <w:rsid w:val="00C64FC7"/>
  </w:style>
  <w:style w:type="numbering" w:customStyle="1" w:styleId="NoList2243">
    <w:name w:val="No List2243"/>
    <w:next w:val="NoList"/>
    <w:uiPriority w:val="99"/>
    <w:unhideWhenUsed/>
    <w:rsid w:val="00C64FC7"/>
  </w:style>
  <w:style w:type="numbering" w:customStyle="1" w:styleId="NoList3243">
    <w:name w:val="No List3243"/>
    <w:next w:val="NoList"/>
    <w:uiPriority w:val="99"/>
    <w:unhideWhenUsed/>
    <w:rsid w:val="00C64FC7"/>
  </w:style>
  <w:style w:type="numbering" w:customStyle="1" w:styleId="NoList643">
    <w:name w:val="No List643"/>
    <w:next w:val="NoList"/>
    <w:uiPriority w:val="99"/>
    <w:unhideWhenUsed/>
    <w:rsid w:val="00C64FC7"/>
  </w:style>
  <w:style w:type="table" w:customStyle="1" w:styleId="MediumGrid1-Accent1643">
    <w:name w:val="Medium Grid 1 - Accent 164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43">
    <w:name w:val="Light Grid - Accent 1164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43">
    <w:name w:val="Light Grid - Accent 564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43">
    <w:name w:val="Light Grid - Accent 12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43">
    <w:name w:val="Light List - Accent 564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43">
    <w:name w:val="Light List - Accent 1164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43">
    <w:name w:val="Light Grid - Accent 1364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43">
    <w:name w:val="Medium Grid 1 - Accent 364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43">
    <w:name w:val="No List1343"/>
    <w:next w:val="NoList"/>
    <w:uiPriority w:val="99"/>
    <w:unhideWhenUsed/>
    <w:rsid w:val="00C64FC7"/>
  </w:style>
  <w:style w:type="numbering" w:customStyle="1" w:styleId="NoList2343">
    <w:name w:val="No List2343"/>
    <w:next w:val="NoList"/>
    <w:uiPriority w:val="99"/>
    <w:unhideWhenUsed/>
    <w:rsid w:val="00C64FC7"/>
  </w:style>
  <w:style w:type="numbering" w:customStyle="1" w:styleId="NoList3343">
    <w:name w:val="No List3343"/>
    <w:next w:val="NoList"/>
    <w:uiPriority w:val="99"/>
    <w:unhideWhenUsed/>
    <w:rsid w:val="00C64FC7"/>
  </w:style>
  <w:style w:type="numbering" w:customStyle="1" w:styleId="NoList183">
    <w:name w:val="No List183"/>
    <w:next w:val="NoList"/>
    <w:uiPriority w:val="99"/>
    <w:unhideWhenUsed/>
    <w:rsid w:val="00C64FC7"/>
  </w:style>
  <w:style w:type="table" w:customStyle="1" w:styleId="TableGrid93">
    <w:name w:val="Table Grid9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73">
    <w:name w:val="Medium Grid 3 - Accent 17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73">
    <w:name w:val="Medium Grid 1 - Accent 1173"/>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73">
    <w:name w:val="Light Grid - Accent 11173"/>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73">
    <w:name w:val="Light Grid - Accent 5173"/>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73">
    <w:name w:val="Light Grid - Accent 12173"/>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73">
    <w:name w:val="Light List - Accent 5173"/>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73">
    <w:name w:val="Light List - Accent 11173"/>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73">
    <w:name w:val="Light Grid - Accent 131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73">
    <w:name w:val="Medium Grid 1 - Accent 31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93">
    <w:name w:val="No List193"/>
    <w:next w:val="NoList"/>
    <w:uiPriority w:val="99"/>
    <w:unhideWhenUsed/>
    <w:rsid w:val="00C64FC7"/>
  </w:style>
  <w:style w:type="table" w:customStyle="1" w:styleId="MediumGrid1-Accent1183">
    <w:name w:val="Medium Grid 1 - Accent 118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83">
    <w:name w:val="Light Grid - Accent 11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83">
    <w:name w:val="Light Grid - Accent 518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83">
    <w:name w:val="Light Grid - Accent 12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83">
    <w:name w:val="Light List - Accent 518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83">
    <w:name w:val="Light List - Accent 1118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83">
    <w:name w:val="Light Grid - Accent 1318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83">
    <w:name w:val="Medium Grid 1 - Accent 318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73">
    <w:name w:val="Grid Table 4 -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83">
    <w:name w:val="No List283"/>
    <w:next w:val="NoList"/>
    <w:uiPriority w:val="99"/>
    <w:unhideWhenUsed/>
    <w:rsid w:val="00C64FC7"/>
  </w:style>
  <w:style w:type="table" w:customStyle="1" w:styleId="MediumGrid1-Accent1273">
    <w:name w:val="Medium Grid 1 - Accent 12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73">
    <w:name w:val="Light Grid - Accent 112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73">
    <w:name w:val="Light Grid - Accent 52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73">
    <w:name w:val="Light Grid - Accent 12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73">
    <w:name w:val="Light List - Accent 52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73">
    <w:name w:val="Light List - Accent 112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73">
    <w:name w:val="Light Grid - Accent 132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73">
    <w:name w:val="Medium Grid 1 - Accent 32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73">
    <w:name w:val="Grid Table 4 Accent 31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83">
    <w:name w:val="No List383"/>
    <w:next w:val="NoList"/>
    <w:uiPriority w:val="99"/>
    <w:unhideWhenUsed/>
    <w:rsid w:val="00C64FC7"/>
  </w:style>
  <w:style w:type="table" w:customStyle="1" w:styleId="MediumGrid1-Accent1373">
    <w:name w:val="Medium Grid 1 - Accent 137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73">
    <w:name w:val="Light Grid - Accent 1137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73">
    <w:name w:val="Light Grid - Accent 537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73">
    <w:name w:val="Light Grid - Accent 12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73">
    <w:name w:val="Light List - Accent 537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73">
    <w:name w:val="Light List - Accent 1137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73">
    <w:name w:val="Light Grid - Accent 1337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73">
    <w:name w:val="Medium Grid 1 - Accent 337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73">
    <w:name w:val="Grid Table 4 Accent 327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73">
    <w:name w:val="Table Grid17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3">
    <w:name w:val="Table Grid263"/>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3">
    <w:name w:val="No List453"/>
    <w:next w:val="NoList"/>
    <w:uiPriority w:val="99"/>
    <w:unhideWhenUsed/>
    <w:rsid w:val="00C64FC7"/>
  </w:style>
  <w:style w:type="table" w:customStyle="1" w:styleId="MediumGrid1-Accent1453">
    <w:name w:val="Medium Grid 1 - Accent 14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53">
    <w:name w:val="Light Grid - Accent 114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53">
    <w:name w:val="Light Grid - Accent 54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53">
    <w:name w:val="Light Grid - Accent 12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53">
    <w:name w:val="Light List - Accent 54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53">
    <w:name w:val="Light List - Accent 114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53">
    <w:name w:val="Light Grid - Accent 134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53">
    <w:name w:val="Medium Grid 1 - Accent 34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53">
    <w:name w:val="Table Grid2153"/>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53">
    <w:name w:val="Medium Grid 3 - Accent 1153"/>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53">
    <w:name w:val="No List1153"/>
    <w:next w:val="NoList"/>
    <w:uiPriority w:val="99"/>
    <w:unhideWhenUsed/>
    <w:rsid w:val="00C64FC7"/>
  </w:style>
  <w:style w:type="table" w:customStyle="1" w:styleId="MediumGrid1-Accent11153">
    <w:name w:val="Medium Grid 1 - Accent 11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53">
    <w:name w:val="Light Grid - Accent 11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53">
    <w:name w:val="Light Grid - Accent 51153"/>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53">
    <w:name w:val="Light Grid - Accent 12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53">
    <w:name w:val="Light List - Accent 51153"/>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53">
    <w:name w:val="Light List - Accent 111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53">
    <w:name w:val="Light Grid - Accent 131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53">
    <w:name w:val="Medium Grid 1 - Accent 31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53">
    <w:name w:val="Grid Table 4 -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53">
    <w:name w:val="No List2153"/>
    <w:next w:val="NoList"/>
    <w:uiPriority w:val="99"/>
    <w:unhideWhenUsed/>
    <w:rsid w:val="00C64FC7"/>
  </w:style>
  <w:style w:type="table" w:customStyle="1" w:styleId="MediumGrid1-Accent12153">
    <w:name w:val="Medium Grid 1 - Accent 12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53">
    <w:name w:val="Light Grid - Accent 112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53">
    <w:name w:val="Light Grid - Accent 52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53">
    <w:name w:val="Light Grid - Accent 12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53">
    <w:name w:val="Light List - Accent 52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53">
    <w:name w:val="Light List - Accent 112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53">
    <w:name w:val="Light Grid - Accent 132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53">
    <w:name w:val="Medium Grid 1 - Accent 32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53">
    <w:name w:val="Grid Table 4 Accent 31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53">
    <w:name w:val="No List3153"/>
    <w:next w:val="NoList"/>
    <w:uiPriority w:val="99"/>
    <w:unhideWhenUsed/>
    <w:rsid w:val="00C64FC7"/>
  </w:style>
  <w:style w:type="table" w:customStyle="1" w:styleId="MediumGrid1-Accent13153">
    <w:name w:val="Medium Grid 1 - Accent 131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53">
    <w:name w:val="Light Grid - Accent 1131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53">
    <w:name w:val="Light Grid - Accent 531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53">
    <w:name w:val="Light Grid - Accent 12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53">
    <w:name w:val="Light List - Accent 531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53">
    <w:name w:val="Light List - Accent 1131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53">
    <w:name w:val="Light Grid - Accent 1331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53">
    <w:name w:val="Medium Grid 1 - Accent 331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53">
    <w:name w:val="Grid Table 4 Accent 32153"/>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53">
    <w:name w:val="Table Grid1153"/>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53">
    <w:name w:val="No List553"/>
    <w:next w:val="NoList"/>
    <w:uiPriority w:val="99"/>
    <w:unhideWhenUsed/>
    <w:rsid w:val="00C64FC7"/>
  </w:style>
  <w:style w:type="table" w:customStyle="1" w:styleId="MediumGrid1-Accent1553">
    <w:name w:val="Medium Grid 1 - Accent 15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53">
    <w:name w:val="Light Grid - Accent 115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53">
    <w:name w:val="Light Grid - Accent 55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53">
    <w:name w:val="Light Grid - Accent 12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53">
    <w:name w:val="Light List - Accent 55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53">
    <w:name w:val="Light List - Accent 115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53">
    <w:name w:val="Light Grid - Accent 135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53">
    <w:name w:val="Medium Grid 1 - Accent 35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53">
    <w:name w:val="No List1253"/>
    <w:next w:val="NoList"/>
    <w:uiPriority w:val="99"/>
    <w:unhideWhenUsed/>
    <w:rsid w:val="00C64FC7"/>
  </w:style>
  <w:style w:type="numbering" w:customStyle="1" w:styleId="NoList2253">
    <w:name w:val="No List2253"/>
    <w:next w:val="NoList"/>
    <w:uiPriority w:val="99"/>
    <w:unhideWhenUsed/>
    <w:rsid w:val="00C64FC7"/>
  </w:style>
  <w:style w:type="numbering" w:customStyle="1" w:styleId="NoList3253">
    <w:name w:val="No List3253"/>
    <w:next w:val="NoList"/>
    <w:uiPriority w:val="99"/>
    <w:unhideWhenUsed/>
    <w:rsid w:val="00C64FC7"/>
  </w:style>
  <w:style w:type="numbering" w:customStyle="1" w:styleId="NoList653">
    <w:name w:val="No List653"/>
    <w:next w:val="NoList"/>
    <w:uiPriority w:val="99"/>
    <w:unhideWhenUsed/>
    <w:rsid w:val="00C64FC7"/>
  </w:style>
  <w:style w:type="table" w:customStyle="1" w:styleId="MediumGrid1-Accent1653">
    <w:name w:val="Medium Grid 1 - Accent 1653"/>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53">
    <w:name w:val="Light Grid - Accent 11653"/>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53">
    <w:name w:val="Light Grid - Accent 5653"/>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53">
    <w:name w:val="Light Grid - Accent 12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53">
    <w:name w:val="Light List - Accent 5653"/>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53">
    <w:name w:val="Light List - Accent 11653"/>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53">
    <w:name w:val="Light Grid - Accent 13653"/>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53">
    <w:name w:val="Medium Grid 1 - Accent 3653"/>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53">
    <w:name w:val="No List1353"/>
    <w:next w:val="NoList"/>
    <w:uiPriority w:val="99"/>
    <w:unhideWhenUsed/>
    <w:rsid w:val="00C64FC7"/>
  </w:style>
  <w:style w:type="numbering" w:customStyle="1" w:styleId="NoList2353">
    <w:name w:val="No List2353"/>
    <w:next w:val="NoList"/>
    <w:uiPriority w:val="99"/>
    <w:unhideWhenUsed/>
    <w:rsid w:val="00C64FC7"/>
  </w:style>
  <w:style w:type="numbering" w:customStyle="1" w:styleId="NoList3353">
    <w:name w:val="No List3353"/>
    <w:next w:val="NoList"/>
    <w:uiPriority w:val="99"/>
    <w:unhideWhenUsed/>
    <w:rsid w:val="00C64FC7"/>
  </w:style>
  <w:style w:type="numbering" w:customStyle="1" w:styleId="NoList202">
    <w:name w:val="No List202"/>
    <w:next w:val="NoList"/>
    <w:uiPriority w:val="99"/>
    <w:unhideWhenUsed/>
    <w:rsid w:val="00C64FC7"/>
  </w:style>
  <w:style w:type="table" w:customStyle="1" w:styleId="TableGrid102">
    <w:name w:val="Table Grid10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82">
    <w:name w:val="Medium Grid 3 - Accent 18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92">
    <w:name w:val="Medium Grid 1 - Accent 119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92">
    <w:name w:val="Light Grid - Accent 1119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92">
    <w:name w:val="Light Grid - Accent 519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92">
    <w:name w:val="Light Grid - Accent 1219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92">
    <w:name w:val="Light List - Accent 519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92">
    <w:name w:val="Light List - Accent 1119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92">
    <w:name w:val="Light Grid - Accent 1319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92">
    <w:name w:val="Medium Grid 1 - Accent 319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102">
    <w:name w:val="No List1102"/>
    <w:next w:val="NoList"/>
    <w:uiPriority w:val="99"/>
    <w:unhideWhenUsed/>
    <w:rsid w:val="00C64FC7"/>
  </w:style>
  <w:style w:type="table" w:customStyle="1" w:styleId="MediumGrid1-Accent11102">
    <w:name w:val="Medium Grid 1 - Accent 1110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02">
    <w:name w:val="Light Grid - Accent 11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02">
    <w:name w:val="Light Grid - Accent 5110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02">
    <w:name w:val="Light Grid - Accent 12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02">
    <w:name w:val="Light List - Accent 5110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02">
    <w:name w:val="Light List - Accent 11110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02">
    <w:name w:val="Light Grid - Accent 13110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02">
    <w:name w:val="Medium Grid 1 - Accent 3110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82">
    <w:name w:val="Grid Table 4 -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92">
    <w:name w:val="No List292"/>
    <w:next w:val="NoList"/>
    <w:uiPriority w:val="99"/>
    <w:unhideWhenUsed/>
    <w:rsid w:val="00C64FC7"/>
  </w:style>
  <w:style w:type="table" w:customStyle="1" w:styleId="MediumGrid1-Accent1282">
    <w:name w:val="Medium Grid 1 - Accent 12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82">
    <w:name w:val="Light Grid - Accent 112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82">
    <w:name w:val="Light Grid - Accent 52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82">
    <w:name w:val="Light Grid - Accent 12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82">
    <w:name w:val="Light List - Accent 52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82">
    <w:name w:val="Light List - Accent 112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82">
    <w:name w:val="Light Grid - Accent 132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82">
    <w:name w:val="Medium Grid 1 - Accent 32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82">
    <w:name w:val="Grid Table 4 Accent 31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92">
    <w:name w:val="No List392"/>
    <w:next w:val="NoList"/>
    <w:uiPriority w:val="99"/>
    <w:unhideWhenUsed/>
    <w:rsid w:val="00C64FC7"/>
  </w:style>
  <w:style w:type="table" w:customStyle="1" w:styleId="MediumGrid1-Accent1382">
    <w:name w:val="Medium Grid 1 - Accent 138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82">
    <w:name w:val="Light Grid - Accent 1138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82">
    <w:name w:val="Light Grid - Accent 538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82">
    <w:name w:val="Light Grid - Accent 12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82">
    <w:name w:val="Light List - Accent 538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82">
    <w:name w:val="Light List - Accent 1138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82">
    <w:name w:val="Light Grid - Accent 1338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82">
    <w:name w:val="Medium Grid 1 - Accent 338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82">
    <w:name w:val="Grid Table 4 Accent 328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82">
    <w:name w:val="Table Grid18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2">
    <w:name w:val="Table Grid27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62">
    <w:name w:val="No List462"/>
    <w:next w:val="NoList"/>
    <w:uiPriority w:val="99"/>
    <w:unhideWhenUsed/>
    <w:rsid w:val="00C64FC7"/>
  </w:style>
  <w:style w:type="table" w:customStyle="1" w:styleId="MediumGrid1-Accent1462">
    <w:name w:val="Medium Grid 1 - Accent 14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62">
    <w:name w:val="Light Grid - Accent 114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62">
    <w:name w:val="Light Grid - Accent 54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62">
    <w:name w:val="Light Grid - Accent 12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62">
    <w:name w:val="Light List - Accent 54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62">
    <w:name w:val="Light List - Accent 114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62">
    <w:name w:val="Light Grid - Accent 134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62">
    <w:name w:val="Medium Grid 1 - Accent 34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312">
    <w:name w:val="Table Grid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62">
    <w:name w:val="Medium Grid 3 - Accent 116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62">
    <w:name w:val="No List1162"/>
    <w:next w:val="NoList"/>
    <w:uiPriority w:val="99"/>
    <w:unhideWhenUsed/>
    <w:rsid w:val="00C64FC7"/>
  </w:style>
  <w:style w:type="table" w:customStyle="1" w:styleId="MediumGrid1-Accent11162">
    <w:name w:val="Medium Grid 1 - Accent 11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62">
    <w:name w:val="Light Grid - Accent 11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62">
    <w:name w:val="Light Grid - Accent 5116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62">
    <w:name w:val="Light Grid - Accent 12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62">
    <w:name w:val="Light List - Accent 5116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62">
    <w:name w:val="Light List - Accent 111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62">
    <w:name w:val="Light Grid - Accent 131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62">
    <w:name w:val="Medium Grid 1 - Accent 31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62">
    <w:name w:val="Grid Table 4 -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62">
    <w:name w:val="No List2162"/>
    <w:next w:val="NoList"/>
    <w:uiPriority w:val="99"/>
    <w:unhideWhenUsed/>
    <w:rsid w:val="00C64FC7"/>
  </w:style>
  <w:style w:type="table" w:customStyle="1" w:styleId="MediumGrid1-Accent12162">
    <w:name w:val="Medium Grid 1 - Accent 12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62">
    <w:name w:val="Light Grid - Accent 112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62">
    <w:name w:val="Light Grid - Accent 52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62">
    <w:name w:val="Light Grid - Accent 12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62">
    <w:name w:val="Light List - Accent 52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62">
    <w:name w:val="Light List - Accent 112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62">
    <w:name w:val="Light Grid - Accent 132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62">
    <w:name w:val="Medium Grid 1 - Accent 32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62">
    <w:name w:val="Grid Table 4 Accent 31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62">
    <w:name w:val="No List3162"/>
    <w:next w:val="NoList"/>
    <w:uiPriority w:val="99"/>
    <w:unhideWhenUsed/>
    <w:rsid w:val="00C64FC7"/>
  </w:style>
  <w:style w:type="table" w:customStyle="1" w:styleId="MediumGrid1-Accent13162">
    <w:name w:val="Medium Grid 1 - Accent 131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62">
    <w:name w:val="Light Grid - Accent 1131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62">
    <w:name w:val="Light Grid - Accent 531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62">
    <w:name w:val="Light Grid - Accent 12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62">
    <w:name w:val="Light List - Accent 531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62">
    <w:name w:val="Light List - Accent 1131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62">
    <w:name w:val="Light Grid - Accent 1331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62">
    <w:name w:val="Medium Grid 1 - Accent 331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62">
    <w:name w:val="Grid Table 4 Accent 3216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62">
    <w:name w:val="Table Grid116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62">
    <w:name w:val="No List562"/>
    <w:next w:val="NoList"/>
    <w:uiPriority w:val="99"/>
    <w:unhideWhenUsed/>
    <w:rsid w:val="00C64FC7"/>
  </w:style>
  <w:style w:type="table" w:customStyle="1" w:styleId="TableGrid412">
    <w:name w:val="Table Grid412"/>
    <w:basedOn w:val="TableNormal"/>
    <w:next w:val="TableGrid"/>
    <w:uiPriority w:val="5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212">
    <w:name w:val="Medium Grid 3 - Accent 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562">
    <w:name w:val="Medium Grid 1 - Accent 156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562">
    <w:name w:val="Light Grid - Accent 1156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562">
    <w:name w:val="Light Grid - Accent 556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562">
    <w:name w:val="Light Grid - Accent 1256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562">
    <w:name w:val="Light List - Accent 556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562">
    <w:name w:val="Light List - Accent 1156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562">
    <w:name w:val="Light Grid - Accent 135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562">
    <w:name w:val="Medium Grid 1 - Accent 35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262">
    <w:name w:val="No List1262"/>
    <w:next w:val="NoList"/>
    <w:uiPriority w:val="99"/>
    <w:unhideWhenUsed/>
    <w:rsid w:val="00C64FC7"/>
  </w:style>
  <w:style w:type="table" w:customStyle="1" w:styleId="MediumGrid1-Accent11212">
    <w:name w:val="Medium Grid 1 - Accent 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212">
    <w:name w:val="Light Grid - Accent 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212">
    <w:name w:val="Light Grid - Accent 5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212">
    <w:name w:val="Light Grid - Accent 1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212">
    <w:name w:val="Light List - Accent 5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212">
    <w:name w:val="Light List - Accent 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212">
    <w:name w:val="Light Grid - Accent 1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212">
    <w:name w:val="Medium Grid 1 - Accent 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212">
    <w:name w:val="Grid Table 4 -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262">
    <w:name w:val="No List2262"/>
    <w:next w:val="NoList"/>
    <w:uiPriority w:val="99"/>
    <w:unhideWhenUsed/>
    <w:rsid w:val="00C64FC7"/>
  </w:style>
  <w:style w:type="table" w:customStyle="1" w:styleId="MediumGrid1-Accent12212">
    <w:name w:val="Medium Grid 1 - Accent 12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212">
    <w:name w:val="Light Grid - Accent 112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212">
    <w:name w:val="Light Grid - Accent 52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212">
    <w:name w:val="Light Grid - Accent 12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212">
    <w:name w:val="Light List - Accent 52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212">
    <w:name w:val="Light List - Accent 112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212">
    <w:name w:val="Light Grid - Accent 132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212">
    <w:name w:val="Medium Grid 1 - Accent 32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212">
    <w:name w:val="Grid Table 4 Accent 3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262">
    <w:name w:val="No List3262"/>
    <w:next w:val="NoList"/>
    <w:uiPriority w:val="99"/>
    <w:unhideWhenUsed/>
    <w:rsid w:val="00C64FC7"/>
  </w:style>
  <w:style w:type="table" w:customStyle="1" w:styleId="MediumGrid1-Accent13212">
    <w:name w:val="Medium Grid 1 - Accent 13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212">
    <w:name w:val="Light Grid - Accent 113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212">
    <w:name w:val="Light Grid - Accent 53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212">
    <w:name w:val="Light Grid - Accent 12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212">
    <w:name w:val="Light List - Accent 53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212">
    <w:name w:val="Light List - Accent 113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212">
    <w:name w:val="Light Grid - Accent 133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212">
    <w:name w:val="Medium Grid 1 - Accent 33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212">
    <w:name w:val="Grid Table 4 Accent 32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212">
    <w:name w:val="Table Grid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62">
    <w:name w:val="Table Grid2162"/>
    <w:basedOn w:val="TableNormal"/>
    <w:next w:val="TableGrid"/>
    <w:uiPriority w:val="3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662">
    <w:name w:val="No List662"/>
    <w:next w:val="NoList"/>
    <w:uiPriority w:val="99"/>
    <w:unhideWhenUsed/>
    <w:rsid w:val="00C64FC7"/>
  </w:style>
  <w:style w:type="table" w:customStyle="1" w:styleId="MediumGrid1-Accent1662">
    <w:name w:val="Medium Grid 1 - Accent 166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62">
    <w:name w:val="Light Grid - Accent 1166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62">
    <w:name w:val="Light Grid - Accent 566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62">
    <w:name w:val="Light Grid - Accent 12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62">
    <w:name w:val="Light List - Accent 566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62">
    <w:name w:val="Light List - Accent 1166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62">
    <w:name w:val="Light Grid - Accent 1366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62">
    <w:name w:val="Medium Grid 1 - Accent 366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62">
    <w:name w:val="No List1362"/>
    <w:next w:val="NoList"/>
    <w:uiPriority w:val="99"/>
    <w:unhideWhenUsed/>
    <w:rsid w:val="00C64FC7"/>
  </w:style>
  <w:style w:type="numbering" w:customStyle="1" w:styleId="NoList2362">
    <w:name w:val="No List2362"/>
    <w:next w:val="NoList"/>
    <w:uiPriority w:val="99"/>
    <w:unhideWhenUsed/>
    <w:rsid w:val="00C64FC7"/>
  </w:style>
  <w:style w:type="numbering" w:customStyle="1" w:styleId="NoList3362">
    <w:name w:val="No List3362"/>
    <w:next w:val="NoList"/>
    <w:uiPriority w:val="99"/>
    <w:unhideWhenUsed/>
    <w:rsid w:val="00C64FC7"/>
  </w:style>
  <w:style w:type="numbering" w:customStyle="1" w:styleId="NoList712">
    <w:name w:val="No List712"/>
    <w:next w:val="NoList"/>
    <w:uiPriority w:val="99"/>
    <w:unhideWhenUsed/>
    <w:rsid w:val="00C64FC7"/>
  </w:style>
  <w:style w:type="table" w:customStyle="1" w:styleId="TableGrid512">
    <w:name w:val="Table Grid5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312">
    <w:name w:val="Medium Grid 3 - Accent 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712">
    <w:name w:val="Medium Grid 1 - Accent 17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712">
    <w:name w:val="Light Grid - Accent 117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712">
    <w:name w:val="Light Grid - Accent 57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712">
    <w:name w:val="Light Grid - Accent 127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712">
    <w:name w:val="Light List - Accent 57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712">
    <w:name w:val="Light List - Accent 117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712">
    <w:name w:val="Light Grid - Accent 137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712">
    <w:name w:val="Medium Grid 1 - Accent 37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412">
    <w:name w:val="No List1412"/>
    <w:next w:val="NoList"/>
    <w:uiPriority w:val="99"/>
    <w:unhideWhenUsed/>
    <w:rsid w:val="00C64FC7"/>
  </w:style>
  <w:style w:type="table" w:customStyle="1" w:styleId="MediumGrid1-Accent11312">
    <w:name w:val="Medium Grid 1 - Accent 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312">
    <w:name w:val="Light Grid - Accent 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312">
    <w:name w:val="Light Grid - Accent 5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312">
    <w:name w:val="Light Grid - Accent 1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312">
    <w:name w:val="Light List - Accent 5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312">
    <w:name w:val="Light List - Accent 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312">
    <w:name w:val="Light Grid - Accent 1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312">
    <w:name w:val="Medium Grid 1 - Accent 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312">
    <w:name w:val="Grid Table 4 -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412">
    <w:name w:val="No List2412"/>
    <w:next w:val="NoList"/>
    <w:uiPriority w:val="99"/>
    <w:unhideWhenUsed/>
    <w:rsid w:val="00C64FC7"/>
  </w:style>
  <w:style w:type="table" w:customStyle="1" w:styleId="MediumGrid1-Accent12312">
    <w:name w:val="Medium Grid 1 - Accent 12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312">
    <w:name w:val="Light Grid - Accent 112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312">
    <w:name w:val="Light Grid - Accent 52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312">
    <w:name w:val="Light Grid - Accent 12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312">
    <w:name w:val="Light List - Accent 52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312">
    <w:name w:val="Light List - Accent 112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312">
    <w:name w:val="Light Grid - Accent 132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312">
    <w:name w:val="Medium Grid 1 - Accent 32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312">
    <w:name w:val="Grid Table 4 Accent 3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412">
    <w:name w:val="No List3412"/>
    <w:next w:val="NoList"/>
    <w:uiPriority w:val="99"/>
    <w:unhideWhenUsed/>
    <w:rsid w:val="00C64FC7"/>
  </w:style>
  <w:style w:type="table" w:customStyle="1" w:styleId="MediumGrid1-Accent13312">
    <w:name w:val="Medium Grid 1 - Accent 13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312">
    <w:name w:val="Light Grid - Accent 113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312">
    <w:name w:val="Light Grid - Accent 53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312">
    <w:name w:val="Light Grid - Accent 12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312">
    <w:name w:val="Light List - Accent 53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312">
    <w:name w:val="Light List - Accent 113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312">
    <w:name w:val="Light Grid - Accent 133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312">
    <w:name w:val="Medium Grid 1 - Accent 33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312">
    <w:name w:val="Grid Table 4 Accent 32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312">
    <w:name w:val="Table Grid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2">
    <w:name w:val="Table Grid22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12">
    <w:name w:val="No List4112"/>
    <w:next w:val="NoList"/>
    <w:uiPriority w:val="99"/>
    <w:unhideWhenUsed/>
    <w:rsid w:val="00C64FC7"/>
  </w:style>
  <w:style w:type="table" w:customStyle="1" w:styleId="MediumGrid1-Accent14112">
    <w:name w:val="Medium Grid 1 - Accent 14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112">
    <w:name w:val="Light Grid - Accent 114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112">
    <w:name w:val="Light Grid - Accent 54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112">
    <w:name w:val="Light Grid - Accent 12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112">
    <w:name w:val="Light List - Accent 54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112">
    <w:name w:val="Light List - Accent 114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112">
    <w:name w:val="Light Grid - Accent 134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112">
    <w:name w:val="Medium Grid 1 - Accent 34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112">
    <w:name w:val="Table Grid211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112">
    <w:name w:val="Medium Grid 3 - Accent 111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112">
    <w:name w:val="No List11112"/>
    <w:next w:val="NoList"/>
    <w:uiPriority w:val="99"/>
    <w:unhideWhenUsed/>
    <w:rsid w:val="00C64FC7"/>
  </w:style>
  <w:style w:type="table" w:customStyle="1" w:styleId="MediumGrid1-Accent111112">
    <w:name w:val="Medium Grid 1 - Accent 11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112">
    <w:name w:val="Light Grid - Accent 11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112">
    <w:name w:val="Light Grid - Accent 5111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112">
    <w:name w:val="Light Grid - Accent 12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112">
    <w:name w:val="Light List - Accent 5111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112">
    <w:name w:val="Light List - Accent 111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112">
    <w:name w:val="Light Grid - Accent 131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112">
    <w:name w:val="Medium Grid 1 - Accent 31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112">
    <w:name w:val="Grid Table 4 -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112">
    <w:name w:val="No List21112"/>
    <w:next w:val="NoList"/>
    <w:uiPriority w:val="99"/>
    <w:unhideWhenUsed/>
    <w:rsid w:val="00C64FC7"/>
  </w:style>
  <w:style w:type="table" w:customStyle="1" w:styleId="MediumGrid1-Accent121112">
    <w:name w:val="Medium Grid 1 - Accent 12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112">
    <w:name w:val="Light Grid - Accent 112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112">
    <w:name w:val="Light Grid - Accent 52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112">
    <w:name w:val="Light Grid - Accent 12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112">
    <w:name w:val="Light List - Accent 52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112">
    <w:name w:val="Light List - Accent 112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112">
    <w:name w:val="Light Grid - Accent 132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112">
    <w:name w:val="Medium Grid 1 - Accent 32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112">
    <w:name w:val="Grid Table 4 Accent 31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112">
    <w:name w:val="No List31112"/>
    <w:next w:val="NoList"/>
    <w:uiPriority w:val="99"/>
    <w:unhideWhenUsed/>
    <w:rsid w:val="00C64FC7"/>
  </w:style>
  <w:style w:type="table" w:customStyle="1" w:styleId="MediumGrid1-Accent131112">
    <w:name w:val="Medium Grid 1 - Accent 131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112">
    <w:name w:val="Light Grid - Accent 1131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112">
    <w:name w:val="Light Grid - Accent 531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112">
    <w:name w:val="Light Grid - Accent 12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112">
    <w:name w:val="Light List - Accent 531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112">
    <w:name w:val="Light List - Accent 1131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112">
    <w:name w:val="Light Grid - Accent 1331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112">
    <w:name w:val="Medium Grid 1 - Accent 331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112">
    <w:name w:val="Grid Table 4 Accent 3211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112">
    <w:name w:val="Table Grid111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12">
    <w:name w:val="No List5112"/>
    <w:next w:val="NoList"/>
    <w:uiPriority w:val="99"/>
    <w:unhideWhenUsed/>
    <w:rsid w:val="00C64FC7"/>
  </w:style>
  <w:style w:type="table" w:customStyle="1" w:styleId="MediumGrid1-Accent15112">
    <w:name w:val="Medium Grid 1 - Accent 15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112">
    <w:name w:val="Light Grid - Accent 115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112">
    <w:name w:val="Light Grid - Accent 55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112">
    <w:name w:val="Light Grid - Accent 12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112">
    <w:name w:val="Light List - Accent 55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112">
    <w:name w:val="Light List - Accent 115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112">
    <w:name w:val="Light Grid - Accent 135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112">
    <w:name w:val="Medium Grid 1 - Accent 35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112">
    <w:name w:val="No List12112"/>
    <w:next w:val="NoList"/>
    <w:uiPriority w:val="99"/>
    <w:unhideWhenUsed/>
    <w:rsid w:val="00C64FC7"/>
  </w:style>
  <w:style w:type="numbering" w:customStyle="1" w:styleId="NoList22112">
    <w:name w:val="No List22112"/>
    <w:next w:val="NoList"/>
    <w:uiPriority w:val="99"/>
    <w:unhideWhenUsed/>
    <w:rsid w:val="00C64FC7"/>
  </w:style>
  <w:style w:type="numbering" w:customStyle="1" w:styleId="NoList32112">
    <w:name w:val="No List32112"/>
    <w:next w:val="NoList"/>
    <w:uiPriority w:val="99"/>
    <w:unhideWhenUsed/>
    <w:rsid w:val="00C64FC7"/>
  </w:style>
  <w:style w:type="numbering" w:customStyle="1" w:styleId="NoList6112">
    <w:name w:val="No List6112"/>
    <w:next w:val="NoList"/>
    <w:uiPriority w:val="99"/>
    <w:unhideWhenUsed/>
    <w:rsid w:val="00C64FC7"/>
  </w:style>
  <w:style w:type="table" w:customStyle="1" w:styleId="MediumGrid1-Accent16112">
    <w:name w:val="Medium Grid 1 - Accent 161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112">
    <w:name w:val="Light Grid - Accent 1161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112">
    <w:name w:val="Light Grid - Accent 561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112">
    <w:name w:val="Light Grid - Accent 12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112">
    <w:name w:val="Light List - Accent 561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112">
    <w:name w:val="Light List - Accent 1161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112">
    <w:name w:val="Light Grid - Accent 1361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112">
    <w:name w:val="Medium Grid 1 - Accent 361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112">
    <w:name w:val="No List13112"/>
    <w:next w:val="NoList"/>
    <w:uiPriority w:val="99"/>
    <w:unhideWhenUsed/>
    <w:rsid w:val="00C64FC7"/>
  </w:style>
  <w:style w:type="numbering" w:customStyle="1" w:styleId="NoList23112">
    <w:name w:val="No List23112"/>
    <w:next w:val="NoList"/>
    <w:uiPriority w:val="99"/>
    <w:unhideWhenUsed/>
    <w:rsid w:val="00C64FC7"/>
  </w:style>
  <w:style w:type="numbering" w:customStyle="1" w:styleId="NoList33112">
    <w:name w:val="No List33112"/>
    <w:next w:val="NoList"/>
    <w:uiPriority w:val="99"/>
    <w:unhideWhenUsed/>
    <w:rsid w:val="00C64FC7"/>
  </w:style>
  <w:style w:type="numbering" w:customStyle="1" w:styleId="NoList812">
    <w:name w:val="No List812"/>
    <w:next w:val="NoList"/>
    <w:uiPriority w:val="99"/>
    <w:unhideWhenUsed/>
    <w:rsid w:val="00C64FC7"/>
  </w:style>
  <w:style w:type="table" w:customStyle="1" w:styleId="TableGrid612">
    <w:name w:val="Table Grid6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412">
    <w:name w:val="Medium Grid 3 - Accent 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812">
    <w:name w:val="Medium Grid 1 - Accent 18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812">
    <w:name w:val="Light Grid - Accent 118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812">
    <w:name w:val="Light Grid - Accent 58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812">
    <w:name w:val="Light Grid - Accent 128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812">
    <w:name w:val="Light List - Accent 58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812">
    <w:name w:val="Light List - Accent 118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812">
    <w:name w:val="Light Grid - Accent 138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812">
    <w:name w:val="Medium Grid 1 - Accent 38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512">
    <w:name w:val="No List1512"/>
    <w:next w:val="NoList"/>
    <w:uiPriority w:val="99"/>
    <w:unhideWhenUsed/>
    <w:rsid w:val="00C64FC7"/>
  </w:style>
  <w:style w:type="table" w:customStyle="1" w:styleId="MediumGrid1-Accent11412">
    <w:name w:val="Medium Grid 1 - Accent 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412">
    <w:name w:val="Light Grid - Accent 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412">
    <w:name w:val="Light Grid - Accent 5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412">
    <w:name w:val="Light Grid - Accent 1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412">
    <w:name w:val="Light List - Accent 5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412">
    <w:name w:val="Light List - Accent 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412">
    <w:name w:val="Light Grid - Accent 13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412">
    <w:name w:val="Medium Grid 1 - Accent 3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412">
    <w:name w:val="Grid Table 4 -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512">
    <w:name w:val="No List2512"/>
    <w:next w:val="NoList"/>
    <w:uiPriority w:val="99"/>
    <w:unhideWhenUsed/>
    <w:rsid w:val="00C64FC7"/>
  </w:style>
  <w:style w:type="table" w:customStyle="1" w:styleId="MediumGrid1-Accent12412">
    <w:name w:val="Medium Grid 1 - Accent 12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412">
    <w:name w:val="Light Grid - Accent 112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412">
    <w:name w:val="Light Grid - Accent 52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412">
    <w:name w:val="Light Grid - Accent 12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412">
    <w:name w:val="Light List - Accent 52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412">
    <w:name w:val="Light List - Accent 112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412">
    <w:name w:val="Light Grid - Accent 132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412">
    <w:name w:val="Medium Grid 1 - Accent 32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412">
    <w:name w:val="Grid Table 4 Accent 3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512">
    <w:name w:val="No List3512"/>
    <w:next w:val="NoList"/>
    <w:uiPriority w:val="99"/>
    <w:unhideWhenUsed/>
    <w:rsid w:val="00C64FC7"/>
  </w:style>
  <w:style w:type="table" w:customStyle="1" w:styleId="MediumGrid1-Accent13412">
    <w:name w:val="Medium Grid 1 - Accent 13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412">
    <w:name w:val="Light Grid - Accent 113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412">
    <w:name w:val="Light Grid - Accent 53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412">
    <w:name w:val="Light Grid - Accent 12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412">
    <w:name w:val="Light List - Accent 53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412">
    <w:name w:val="Light List - Accent 113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412">
    <w:name w:val="Light Grid - Accent 133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412">
    <w:name w:val="Medium Grid 1 - Accent 33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412">
    <w:name w:val="Grid Table 4 Accent 32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412">
    <w:name w:val="Table Grid14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2">
    <w:name w:val="Table Grid23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2">
    <w:name w:val="No List4212"/>
    <w:next w:val="NoList"/>
    <w:uiPriority w:val="99"/>
    <w:unhideWhenUsed/>
    <w:rsid w:val="00C64FC7"/>
  </w:style>
  <w:style w:type="table" w:customStyle="1" w:styleId="MediumGrid1-Accent14212">
    <w:name w:val="Medium Grid 1 - Accent 14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212">
    <w:name w:val="Light Grid - Accent 114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212">
    <w:name w:val="Light Grid - Accent 54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212">
    <w:name w:val="Light Grid - Accent 12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212">
    <w:name w:val="Light List - Accent 54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212">
    <w:name w:val="Light List - Accent 114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212">
    <w:name w:val="Light Grid - Accent 134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212">
    <w:name w:val="Medium Grid 1 - Accent 34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212">
    <w:name w:val="Table Grid212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212">
    <w:name w:val="Medium Grid 3 - Accent 112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212">
    <w:name w:val="No List11212"/>
    <w:next w:val="NoList"/>
    <w:uiPriority w:val="99"/>
    <w:unhideWhenUsed/>
    <w:rsid w:val="00C64FC7"/>
  </w:style>
  <w:style w:type="table" w:customStyle="1" w:styleId="MediumGrid1-Accent111212">
    <w:name w:val="Medium Grid 1 - Accent 11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212">
    <w:name w:val="Light Grid - Accent 11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212">
    <w:name w:val="Light Grid - Accent 5112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212">
    <w:name w:val="Light Grid - Accent 12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212">
    <w:name w:val="Light List - Accent 5112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212">
    <w:name w:val="Light List - Accent 111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212">
    <w:name w:val="Light Grid - Accent 131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212">
    <w:name w:val="Medium Grid 1 - Accent 31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212">
    <w:name w:val="Grid Table 4 -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212">
    <w:name w:val="No List21212"/>
    <w:next w:val="NoList"/>
    <w:uiPriority w:val="99"/>
    <w:unhideWhenUsed/>
    <w:rsid w:val="00C64FC7"/>
  </w:style>
  <w:style w:type="table" w:customStyle="1" w:styleId="MediumGrid1-Accent121212">
    <w:name w:val="Medium Grid 1 - Accent 12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212">
    <w:name w:val="Light Grid - Accent 112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212">
    <w:name w:val="Light Grid - Accent 52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212">
    <w:name w:val="Light Grid - Accent 12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212">
    <w:name w:val="Light List - Accent 52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212">
    <w:name w:val="Light List - Accent 112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212">
    <w:name w:val="Light Grid - Accent 132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212">
    <w:name w:val="Medium Grid 1 - Accent 32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212">
    <w:name w:val="Grid Table 4 Accent 31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212">
    <w:name w:val="No List31212"/>
    <w:next w:val="NoList"/>
    <w:uiPriority w:val="99"/>
    <w:unhideWhenUsed/>
    <w:rsid w:val="00C64FC7"/>
  </w:style>
  <w:style w:type="table" w:customStyle="1" w:styleId="MediumGrid1-Accent131212">
    <w:name w:val="Medium Grid 1 - Accent 131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212">
    <w:name w:val="Light Grid - Accent 1131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212">
    <w:name w:val="Light Grid - Accent 531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212">
    <w:name w:val="Light Grid - Accent 12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212">
    <w:name w:val="Light List - Accent 531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212">
    <w:name w:val="Light List - Accent 1131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212">
    <w:name w:val="Light Grid - Accent 1331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212">
    <w:name w:val="Medium Grid 1 - Accent 331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212">
    <w:name w:val="Grid Table 4 Accent 3212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212">
    <w:name w:val="Table Grid112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212">
    <w:name w:val="No List5212"/>
    <w:next w:val="NoList"/>
    <w:uiPriority w:val="99"/>
    <w:unhideWhenUsed/>
    <w:rsid w:val="00C64FC7"/>
  </w:style>
  <w:style w:type="table" w:customStyle="1" w:styleId="MediumGrid1-Accent15212">
    <w:name w:val="Medium Grid 1 - Accent 15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212">
    <w:name w:val="Light Grid - Accent 115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212">
    <w:name w:val="Light Grid - Accent 55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212">
    <w:name w:val="Light Grid - Accent 12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212">
    <w:name w:val="Light List - Accent 55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212">
    <w:name w:val="Light List - Accent 115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212">
    <w:name w:val="Light Grid - Accent 135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212">
    <w:name w:val="Medium Grid 1 - Accent 35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212">
    <w:name w:val="No List12212"/>
    <w:next w:val="NoList"/>
    <w:uiPriority w:val="99"/>
    <w:unhideWhenUsed/>
    <w:rsid w:val="00C64FC7"/>
  </w:style>
  <w:style w:type="numbering" w:customStyle="1" w:styleId="NoList22212">
    <w:name w:val="No List22212"/>
    <w:next w:val="NoList"/>
    <w:uiPriority w:val="99"/>
    <w:unhideWhenUsed/>
    <w:rsid w:val="00C64FC7"/>
  </w:style>
  <w:style w:type="numbering" w:customStyle="1" w:styleId="NoList32212">
    <w:name w:val="No List32212"/>
    <w:next w:val="NoList"/>
    <w:uiPriority w:val="99"/>
    <w:unhideWhenUsed/>
    <w:rsid w:val="00C64FC7"/>
  </w:style>
  <w:style w:type="numbering" w:customStyle="1" w:styleId="NoList6212">
    <w:name w:val="No List6212"/>
    <w:next w:val="NoList"/>
    <w:uiPriority w:val="99"/>
    <w:unhideWhenUsed/>
    <w:rsid w:val="00C64FC7"/>
  </w:style>
  <w:style w:type="table" w:customStyle="1" w:styleId="MediumGrid1-Accent16212">
    <w:name w:val="Medium Grid 1 - Accent 162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212">
    <w:name w:val="Light Grid - Accent 1162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212">
    <w:name w:val="Light Grid - Accent 562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212">
    <w:name w:val="Light Grid - Accent 12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212">
    <w:name w:val="Light List - Accent 562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212">
    <w:name w:val="Light List - Accent 1162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212">
    <w:name w:val="Light Grid - Accent 1362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212">
    <w:name w:val="Medium Grid 1 - Accent 362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212">
    <w:name w:val="No List13212"/>
    <w:next w:val="NoList"/>
    <w:uiPriority w:val="99"/>
    <w:unhideWhenUsed/>
    <w:rsid w:val="00C64FC7"/>
  </w:style>
  <w:style w:type="numbering" w:customStyle="1" w:styleId="NoList23212">
    <w:name w:val="No List23212"/>
    <w:next w:val="NoList"/>
    <w:uiPriority w:val="99"/>
    <w:unhideWhenUsed/>
    <w:rsid w:val="00C64FC7"/>
  </w:style>
  <w:style w:type="numbering" w:customStyle="1" w:styleId="NoList33212">
    <w:name w:val="No List33212"/>
    <w:next w:val="NoList"/>
    <w:uiPriority w:val="99"/>
    <w:unhideWhenUsed/>
    <w:rsid w:val="00C64FC7"/>
  </w:style>
  <w:style w:type="numbering" w:customStyle="1" w:styleId="NoList912">
    <w:name w:val="No List912"/>
    <w:next w:val="NoList"/>
    <w:uiPriority w:val="99"/>
    <w:unhideWhenUsed/>
    <w:rsid w:val="00C64FC7"/>
  </w:style>
  <w:style w:type="table" w:customStyle="1" w:styleId="TableGrid712">
    <w:name w:val="Table Grid7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512">
    <w:name w:val="Medium Grid 3 - Accent 1512"/>
    <w:basedOn w:val="TableNormal"/>
    <w:next w:val="MediumGrid3-Accent1"/>
    <w:uiPriority w:val="69"/>
    <w:locked/>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912">
    <w:name w:val="Medium Grid 1 - Accent 19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912">
    <w:name w:val="Light Grid - Accent 119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912">
    <w:name w:val="Light Grid - Accent 59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912">
    <w:name w:val="Light Grid - Accent 129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912">
    <w:name w:val="Light List - Accent 59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912">
    <w:name w:val="Light List - Accent 119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912">
    <w:name w:val="Light Grid - Accent 139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912">
    <w:name w:val="Medium Grid 1 - Accent 39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612">
    <w:name w:val="No List1612"/>
    <w:next w:val="NoList"/>
    <w:uiPriority w:val="99"/>
    <w:unhideWhenUsed/>
    <w:rsid w:val="00C64FC7"/>
  </w:style>
  <w:style w:type="table" w:customStyle="1" w:styleId="MediumGrid1-Accent11512">
    <w:name w:val="Medium Grid 1 - Accent 11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512">
    <w:name w:val="Light Grid - Accent 11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512">
    <w:name w:val="Light Grid - Accent 515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512">
    <w:name w:val="Light Grid - Accent 12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512">
    <w:name w:val="Light List - Accent 515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512">
    <w:name w:val="Light List - Accent 111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512">
    <w:name w:val="Light Grid - Accent 131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512">
    <w:name w:val="Medium Grid 1 - Accent 31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512">
    <w:name w:val="Grid Table 4 -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612">
    <w:name w:val="No List2612"/>
    <w:next w:val="NoList"/>
    <w:uiPriority w:val="99"/>
    <w:unhideWhenUsed/>
    <w:rsid w:val="00C64FC7"/>
  </w:style>
  <w:style w:type="table" w:customStyle="1" w:styleId="MediumGrid1-Accent12512">
    <w:name w:val="Medium Grid 1 - Accent 12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512">
    <w:name w:val="Light Grid - Accent 112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512">
    <w:name w:val="Light Grid - Accent 52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512">
    <w:name w:val="Light Grid - Accent 12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512">
    <w:name w:val="Light List - Accent 52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512">
    <w:name w:val="Light List - Accent 112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512">
    <w:name w:val="Light Grid - Accent 132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512">
    <w:name w:val="Medium Grid 1 - Accent 32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512">
    <w:name w:val="Grid Table 4 Accent 31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612">
    <w:name w:val="No List3612"/>
    <w:next w:val="NoList"/>
    <w:uiPriority w:val="99"/>
    <w:unhideWhenUsed/>
    <w:rsid w:val="00C64FC7"/>
  </w:style>
  <w:style w:type="table" w:customStyle="1" w:styleId="MediumGrid1-Accent13512">
    <w:name w:val="Medium Grid 1 - Accent 135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512">
    <w:name w:val="Light Grid - Accent 1135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512">
    <w:name w:val="Light Grid - Accent 535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512">
    <w:name w:val="Light Grid - Accent 12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512">
    <w:name w:val="Light List - Accent 535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512">
    <w:name w:val="Light List - Accent 1135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512">
    <w:name w:val="Light Grid - Accent 1335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512">
    <w:name w:val="Medium Grid 1 - Accent 335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512">
    <w:name w:val="Grid Table 4 Accent 325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512">
    <w:name w:val="Table Grid15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2">
    <w:name w:val="Table Grid24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312">
    <w:name w:val="No List4312"/>
    <w:next w:val="NoList"/>
    <w:uiPriority w:val="99"/>
    <w:unhideWhenUsed/>
    <w:rsid w:val="00C64FC7"/>
  </w:style>
  <w:style w:type="table" w:customStyle="1" w:styleId="MediumGrid1-Accent14312">
    <w:name w:val="Medium Grid 1 - Accent 14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312">
    <w:name w:val="Light Grid - Accent 114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312">
    <w:name w:val="Light Grid - Accent 54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312">
    <w:name w:val="Light Grid - Accent 12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312">
    <w:name w:val="Light List - Accent 54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312">
    <w:name w:val="Light List - Accent 114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312">
    <w:name w:val="Light Grid - Accent 134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312">
    <w:name w:val="Medium Grid 1 - Accent 34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312">
    <w:name w:val="Table Grid213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312">
    <w:name w:val="Medium Grid 3 - Accent 113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312">
    <w:name w:val="No List11312"/>
    <w:next w:val="NoList"/>
    <w:uiPriority w:val="99"/>
    <w:unhideWhenUsed/>
    <w:rsid w:val="00C64FC7"/>
  </w:style>
  <w:style w:type="table" w:customStyle="1" w:styleId="MediumGrid1-Accent111312">
    <w:name w:val="Medium Grid 1 - Accent 11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312">
    <w:name w:val="Light Grid - Accent 11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312">
    <w:name w:val="Light Grid - Accent 5113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312">
    <w:name w:val="Light Grid - Accent 12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312">
    <w:name w:val="Light List - Accent 5113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312">
    <w:name w:val="Light List - Accent 111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312">
    <w:name w:val="Light Grid - Accent 131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312">
    <w:name w:val="Medium Grid 1 - Accent 31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312">
    <w:name w:val="Grid Table 4 -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312">
    <w:name w:val="No List21312"/>
    <w:next w:val="NoList"/>
    <w:uiPriority w:val="99"/>
    <w:unhideWhenUsed/>
    <w:rsid w:val="00C64FC7"/>
  </w:style>
  <w:style w:type="table" w:customStyle="1" w:styleId="MediumGrid1-Accent121312">
    <w:name w:val="Medium Grid 1 - Accent 12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312">
    <w:name w:val="Light Grid - Accent 112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312">
    <w:name w:val="Light Grid - Accent 52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312">
    <w:name w:val="Light Grid - Accent 12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312">
    <w:name w:val="Light List - Accent 52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1312">
    <w:name w:val="Light List - Accent 112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1312">
    <w:name w:val="Light Grid - Accent 132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1312">
    <w:name w:val="Medium Grid 1 - Accent 32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1312">
    <w:name w:val="Grid Table 4 Accent 31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1312">
    <w:name w:val="No List31312"/>
    <w:next w:val="NoList"/>
    <w:uiPriority w:val="99"/>
    <w:unhideWhenUsed/>
    <w:rsid w:val="00C64FC7"/>
  </w:style>
  <w:style w:type="table" w:customStyle="1" w:styleId="MediumGrid1-Accent131312">
    <w:name w:val="Medium Grid 1 - Accent 131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1312">
    <w:name w:val="Light Grid - Accent 1131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1312">
    <w:name w:val="Light Grid - Accent 531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1312">
    <w:name w:val="Light Grid - Accent 12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1312">
    <w:name w:val="Light List - Accent 531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1312">
    <w:name w:val="Light List - Accent 1131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1312">
    <w:name w:val="Light Grid - Accent 1331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1312">
    <w:name w:val="Medium Grid 1 - Accent 331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1312">
    <w:name w:val="Grid Table 4 Accent 3213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1312">
    <w:name w:val="Table Grid113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12">
    <w:name w:val="No List5312"/>
    <w:next w:val="NoList"/>
    <w:uiPriority w:val="99"/>
    <w:unhideWhenUsed/>
    <w:rsid w:val="00C64FC7"/>
  </w:style>
  <w:style w:type="table" w:customStyle="1" w:styleId="MediumGrid1-Accent15312">
    <w:name w:val="Medium Grid 1 - Accent 15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5312">
    <w:name w:val="Light Grid - Accent 115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5312">
    <w:name w:val="Light Grid - Accent 55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5312">
    <w:name w:val="Light Grid - Accent 12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5312">
    <w:name w:val="Light List - Accent 55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5312">
    <w:name w:val="Light List - Accent 115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5312">
    <w:name w:val="Light Grid - Accent 135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5312">
    <w:name w:val="Medium Grid 1 - Accent 35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2312">
    <w:name w:val="No List12312"/>
    <w:next w:val="NoList"/>
    <w:uiPriority w:val="99"/>
    <w:unhideWhenUsed/>
    <w:rsid w:val="00C64FC7"/>
  </w:style>
  <w:style w:type="numbering" w:customStyle="1" w:styleId="NoList22312">
    <w:name w:val="No List22312"/>
    <w:next w:val="NoList"/>
    <w:uiPriority w:val="99"/>
    <w:unhideWhenUsed/>
    <w:rsid w:val="00C64FC7"/>
  </w:style>
  <w:style w:type="numbering" w:customStyle="1" w:styleId="NoList32312">
    <w:name w:val="No List32312"/>
    <w:next w:val="NoList"/>
    <w:uiPriority w:val="99"/>
    <w:unhideWhenUsed/>
    <w:rsid w:val="00C64FC7"/>
  </w:style>
  <w:style w:type="numbering" w:customStyle="1" w:styleId="NoList6312">
    <w:name w:val="No List6312"/>
    <w:next w:val="NoList"/>
    <w:uiPriority w:val="99"/>
    <w:unhideWhenUsed/>
    <w:rsid w:val="00C64FC7"/>
  </w:style>
  <w:style w:type="table" w:customStyle="1" w:styleId="MediumGrid1-Accent16312">
    <w:name w:val="Medium Grid 1 - Accent 163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6312">
    <w:name w:val="Light Grid - Accent 1163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6312">
    <w:name w:val="Light Grid - Accent 563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6312">
    <w:name w:val="Light Grid - Accent 12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6312">
    <w:name w:val="Light List - Accent 563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6312">
    <w:name w:val="Light List - Accent 1163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6312">
    <w:name w:val="Light Grid - Accent 1363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6312">
    <w:name w:val="Medium Grid 1 - Accent 363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numbering" w:customStyle="1" w:styleId="NoList13312">
    <w:name w:val="No List13312"/>
    <w:next w:val="NoList"/>
    <w:uiPriority w:val="99"/>
    <w:unhideWhenUsed/>
    <w:rsid w:val="00C64FC7"/>
  </w:style>
  <w:style w:type="numbering" w:customStyle="1" w:styleId="NoList23312">
    <w:name w:val="No List23312"/>
    <w:next w:val="NoList"/>
    <w:uiPriority w:val="99"/>
    <w:unhideWhenUsed/>
    <w:rsid w:val="00C64FC7"/>
  </w:style>
  <w:style w:type="numbering" w:customStyle="1" w:styleId="NoList33312">
    <w:name w:val="No List33312"/>
    <w:next w:val="NoList"/>
    <w:uiPriority w:val="99"/>
    <w:unhideWhenUsed/>
    <w:rsid w:val="00C64FC7"/>
  </w:style>
  <w:style w:type="numbering" w:customStyle="1" w:styleId="NoList1012">
    <w:name w:val="No List1012"/>
    <w:next w:val="NoList"/>
    <w:uiPriority w:val="99"/>
    <w:unhideWhenUsed/>
    <w:rsid w:val="00C64FC7"/>
  </w:style>
  <w:style w:type="table" w:customStyle="1" w:styleId="TableGrid812">
    <w:name w:val="Table Grid8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612">
    <w:name w:val="Medium Grid 3 - Accent 16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1-Accent11012">
    <w:name w:val="Medium Grid 1 - Accent 11012"/>
    <w:basedOn w:val="TableNormal"/>
    <w:next w:val="MediumGrid1-Accent1"/>
    <w:uiPriority w:val="67"/>
    <w:rsid w:val="00C64FC7"/>
    <w:pPr>
      <w:jc w:val="both"/>
    </w:pPr>
    <w:rPr>
      <w:rFonts w:ascii="Times New Roman" w:eastAsia="Calibri" w:hAnsi="Times New Roman"/>
      <w:lang w:val="en-IN" w:bidi="hi-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012">
    <w:name w:val="Light Grid - Accent 111012"/>
    <w:basedOn w:val="TableNormal"/>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012">
    <w:name w:val="Light Grid - Accent 51012"/>
    <w:basedOn w:val="TableNormal"/>
    <w:next w:val="LightGrid-Accent5"/>
    <w:uiPriority w:val="62"/>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012">
    <w:name w:val="Light Grid - Accent 121012"/>
    <w:basedOn w:val="TableNormal"/>
    <w:uiPriority w:val="62"/>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012">
    <w:name w:val="Light List - Accent 51012"/>
    <w:basedOn w:val="TableNormal"/>
    <w:next w:val="LightList-Accent5"/>
    <w:uiPriority w:val="61"/>
    <w:rsid w:val="00C64FC7"/>
    <w:pPr>
      <w:jc w:val="both"/>
    </w:pPr>
    <w:rPr>
      <w:rFonts w:ascii="Calibri" w:eastAsia="Calibri" w:hAnsi="Calibri"/>
      <w:sz w:val="20"/>
      <w:szCs w:val="20"/>
      <w:lang w:val="en-US" w:bidi="hi-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012">
    <w:name w:val="Light List - Accent 111012"/>
    <w:basedOn w:val="TableNormal"/>
    <w:uiPriority w:val="61"/>
    <w:rsid w:val="00C64FC7"/>
    <w:pPr>
      <w:jc w:val="both"/>
    </w:pPr>
    <w:rPr>
      <w:rFonts w:ascii="Times New Roman" w:eastAsia="Calibri" w:hAnsi="Times New Roman"/>
      <w:lang w:val="en-IN" w:bidi="hi-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012">
    <w:name w:val="Light Grid - Accent 1310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012">
    <w:name w:val="Medium Grid 1 - Accent 310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1712">
    <w:name w:val="No List1712"/>
    <w:next w:val="NoList"/>
    <w:uiPriority w:val="99"/>
    <w:unhideWhenUsed/>
    <w:rsid w:val="00C64FC7"/>
  </w:style>
  <w:style w:type="table" w:customStyle="1" w:styleId="MediumGrid1-Accent11612">
    <w:name w:val="Medium Grid 1 - Accent 11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612">
    <w:name w:val="Light Grid - Accent 11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612">
    <w:name w:val="Light Grid - Accent 516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612">
    <w:name w:val="Light Grid - Accent 12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612">
    <w:name w:val="Light List - Accent 516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612">
    <w:name w:val="Light List - Accent 111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612">
    <w:name w:val="Light Grid - Accent 131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612">
    <w:name w:val="Medium Grid 1 - Accent 31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612">
    <w:name w:val="Grid Table 4 -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712">
    <w:name w:val="No List2712"/>
    <w:next w:val="NoList"/>
    <w:uiPriority w:val="99"/>
    <w:unhideWhenUsed/>
    <w:rsid w:val="00C64FC7"/>
  </w:style>
  <w:style w:type="table" w:customStyle="1" w:styleId="MediumGrid1-Accent12612">
    <w:name w:val="Medium Grid 1 - Accent 12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612">
    <w:name w:val="Light Grid - Accent 112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612">
    <w:name w:val="Light Grid - Accent 52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612">
    <w:name w:val="Light Grid - Accent 12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612">
    <w:name w:val="Light List - Accent 52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2612">
    <w:name w:val="Light List - Accent 112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2612">
    <w:name w:val="Light Grid - Accent 132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2612">
    <w:name w:val="Medium Grid 1 - Accent 32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1612">
    <w:name w:val="Grid Table 4 Accent 31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NoList3712">
    <w:name w:val="No List3712"/>
    <w:next w:val="NoList"/>
    <w:uiPriority w:val="99"/>
    <w:unhideWhenUsed/>
    <w:rsid w:val="00C64FC7"/>
  </w:style>
  <w:style w:type="table" w:customStyle="1" w:styleId="MediumGrid1-Accent13612">
    <w:name w:val="Medium Grid 1 - Accent 136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3612">
    <w:name w:val="Light Grid - Accent 1136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3612">
    <w:name w:val="Light Grid - Accent 536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3612">
    <w:name w:val="Light Grid - Accent 12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3612">
    <w:name w:val="Light List - Accent 536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3612">
    <w:name w:val="Light List - Accent 1136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3612">
    <w:name w:val="Light Grid - Accent 1336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3612">
    <w:name w:val="Medium Grid 1 - Accent 336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GridTable4Accent32612">
    <w:name w:val="Grid Table 4 Accent 326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Grid1612">
    <w:name w:val="Table Grid1612"/>
    <w:basedOn w:val="TableNormal"/>
    <w:next w:val="TableGrid"/>
    <w:uiPriority w:val="39"/>
    <w:rsid w:val="00C64FC7"/>
    <w:rPr>
      <w:rFonts w:ascii="Calibri" w:eastAsia="Calibri" w:hAnsi="Calibri" w:cs="Vrinda"/>
      <w:sz w:val="22"/>
      <w:szCs w:val="22"/>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2">
    <w:name w:val="Table Grid2512"/>
    <w:basedOn w:val="TableNormal"/>
    <w:next w:val="TableGrid"/>
    <w:uiPriority w:val="59"/>
    <w:rsid w:val="00C64FC7"/>
    <w:pPr>
      <w:jc w:val="both"/>
    </w:pPr>
    <w:rPr>
      <w:rFonts w:ascii="Calibri" w:eastAsia="Calibri" w:hAnsi="Calibri" w:cs="Mangal"/>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412">
    <w:name w:val="No List4412"/>
    <w:next w:val="NoList"/>
    <w:uiPriority w:val="99"/>
    <w:unhideWhenUsed/>
    <w:rsid w:val="00C64FC7"/>
  </w:style>
  <w:style w:type="table" w:customStyle="1" w:styleId="MediumGrid1-Accent14412">
    <w:name w:val="Medium Grid 1 - Accent 14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4412">
    <w:name w:val="Light Grid - Accent 114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4412">
    <w:name w:val="Light Grid - Accent 54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4412">
    <w:name w:val="Light Grid - Accent 12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4412">
    <w:name w:val="Light List - Accent 54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 w:type="table" w:customStyle="1" w:styleId="LightList-Accent114412">
    <w:name w:val="Light List - Accent 114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ghtGrid-Accent134412">
    <w:name w:val="Light Grid - Accent 134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MediumGrid1-Accent34412">
    <w:name w:val="Medium Grid 1 - Accent 34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BBBBB"/>
        <w:left w:val="single" w:sz="8" w:space="0" w:color="BBBBBB"/>
        <w:bottom w:val="single" w:sz="8" w:space="0" w:color="BBBBBB"/>
        <w:right w:val="single" w:sz="8" w:space="0" w:color="BBBBBB"/>
        <w:insideH w:val="single" w:sz="8" w:space="0" w:color="BBBBBB"/>
        <w:insideV w:val="single" w:sz="8" w:space="0" w:color="BBBBBB"/>
      </w:tblBorders>
    </w:tblPr>
    <w:tcPr>
      <w:shd w:val="clear" w:color="auto" w:fill="E8E8E8"/>
    </w:tcPr>
    <w:tblStylePr w:type="firstRow">
      <w:rPr>
        <w:b/>
        <w:bCs/>
      </w:rPr>
    </w:tblStylePr>
    <w:tblStylePr w:type="lastRow">
      <w:rPr>
        <w:b/>
        <w:bCs/>
      </w:rPr>
      <w:tblPr/>
      <w:tcPr>
        <w:tcBorders>
          <w:top w:val="single" w:sz="18" w:space="0" w:color="BBBBBB"/>
        </w:tcBorders>
      </w:tcPr>
    </w:tblStylePr>
    <w:tblStylePr w:type="firstCol">
      <w:rPr>
        <w:b/>
        <w:bCs/>
      </w:rPr>
    </w:tblStylePr>
    <w:tblStylePr w:type="lastCol">
      <w:rPr>
        <w:b/>
        <w:bCs/>
      </w:rPr>
    </w:tblStylePr>
    <w:tblStylePr w:type="band1Vert">
      <w:tblPr/>
      <w:tcPr>
        <w:shd w:val="clear" w:color="auto" w:fill="D2D2D2"/>
      </w:tcPr>
    </w:tblStylePr>
    <w:tblStylePr w:type="band1Horz">
      <w:tblPr/>
      <w:tcPr>
        <w:shd w:val="clear" w:color="auto" w:fill="D2D2D2"/>
      </w:tcPr>
    </w:tblStylePr>
  </w:style>
  <w:style w:type="table" w:customStyle="1" w:styleId="TableGrid21412">
    <w:name w:val="Table Grid21412"/>
    <w:basedOn w:val="TableNormal"/>
    <w:next w:val="TableGrid"/>
    <w:uiPriority w:val="39"/>
    <w:rsid w:val="00C64FC7"/>
    <w:rPr>
      <w:rFonts w:ascii="Times New Roman" w:eastAsia="Times New Roman" w:hAnsi="Times New Roman"/>
      <w:sz w:val="20"/>
      <w:szCs w:val="20"/>
      <w:lang w:val="en-US" w:bidi="hi-I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MediumGrid3-Accent11412">
    <w:name w:val="Medium Grid 3 - Accent 11412"/>
    <w:basedOn w:val="TableNormal"/>
    <w:next w:val="MediumGrid3-Accent1"/>
    <w:uiPriority w:val="69"/>
    <w:rsid w:val="00C64FC7"/>
    <w:rPr>
      <w:rFonts w:ascii="Times New Roman" w:eastAsia="Calibri" w:hAnsi="Times New Roman"/>
      <w:szCs w:val="20"/>
      <w:lang w:bidi="hi-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NoList11412">
    <w:name w:val="No List11412"/>
    <w:next w:val="NoList"/>
    <w:uiPriority w:val="99"/>
    <w:unhideWhenUsed/>
    <w:rsid w:val="00C64FC7"/>
  </w:style>
  <w:style w:type="table" w:customStyle="1" w:styleId="MediumGrid1-Accent111412">
    <w:name w:val="Medium Grid 1 - Accent 11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LightGrid-Accent1111412">
    <w:name w:val="Light Grid - Accent 11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Grid-Accent511412">
    <w:name w:val="Light Grid - Accent 511412"/>
    <w:basedOn w:val="TableNormal"/>
    <w:next w:val="LightGrid-Accent5"/>
    <w:uiPriority w:val="62"/>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Grid-Accent1211412">
    <w:name w:val="Light Grid - Accent 12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List-Accent511412">
    <w:name w:val="Light List - Accent 511412"/>
    <w:basedOn w:val="TableNormal"/>
    <w:next w:val="LightList-Accent5"/>
    <w:uiPriority w:val="61"/>
    <w:rsid w:val="00C64FC7"/>
    <w:pPr>
      <w:jc w:val="both"/>
    </w:pPr>
    <w:rPr>
      <w:rFonts w:ascii="Times New Roman" w:eastAsia="Calibri" w:hAnsi="Times New Roman"/>
      <w:lang w:val="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1111412">
    <w:name w:val="Light List - Accent 1111412"/>
    <w:basedOn w:val="TableNormal"/>
    <w:uiPriority w:val="61"/>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Grid-Accent1311412">
    <w:name w:val="Light Grid - Accent 131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MediumGrid1-Accent311412">
    <w:name w:val="Medium Grid 1 - Accent 311412"/>
    <w:basedOn w:val="TableNormal"/>
    <w:next w:val="MediumGrid1-Accent3"/>
    <w:uiPriority w:val="67"/>
    <w:rsid w:val="00C64FC7"/>
    <w:pPr>
      <w:jc w:val="both"/>
    </w:pPr>
    <w:rPr>
      <w:rFonts w:ascii="Times New Roman" w:eastAsia="Calibri" w:hAnsi="Times New Roman"/>
      <w:lang w:val="en-IN"/>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GridTable4-Accent311412">
    <w:name w:val="Grid Table 4 - Accent 311412"/>
    <w:basedOn w:val="TableNormal"/>
    <w:uiPriority w:val="49"/>
    <w:rsid w:val="00C64FC7"/>
    <w:pPr>
      <w:jc w:val="both"/>
    </w:pPr>
    <w:rPr>
      <w:rFonts w:ascii="Times New Roman" w:eastAsia="Calibri" w:hAnsi="Times New Roman"/>
      <w:lang w:val="en-IN"/>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numbering" w:customStyle="1" w:styleId="NoList21412">
    <w:name w:val="No List21412"/>
    <w:next w:val="NoList"/>
    <w:uiPriority w:val="99"/>
    <w:semiHidden/>
    <w:unhideWhenUsed/>
    <w:rsid w:val="00C64FC7"/>
  </w:style>
  <w:style w:type="table" w:customStyle="1" w:styleId="MediumGrid1-Accent121412">
    <w:name w:val="Medium Grid 1 - Accent 121412"/>
    <w:basedOn w:val="TableNormal"/>
    <w:next w:val="MediumGrid1-Accent1"/>
    <w:uiPriority w:val="67"/>
    <w:rsid w:val="00C64FC7"/>
    <w:pPr>
      <w:jc w:val="both"/>
    </w:pPr>
    <w:rPr>
      <w:rFonts w:ascii="Times New Roman" w:eastAsia="Calibri" w:hAnsi="Times New Roman"/>
      <w:lang w:val="en-IN"/>
    </w:rPr>
    <w:tblPr>
      <w:tblStyleRowBandSize w:val="1"/>
      <w:tblStyleColBandSize w:val="1"/>
      <w:tblBorders>
        <w:top w:val="single" w:sz="8" w:space="0" w:color="84B3DF"/>
        <w:left w:val="single" w:sz="8" w:space="0" w:color="84B3DF"/>
        <w:bottom w:val="single" w:sz="8" w:space="0" w:color="84B3DF"/>
        <w:right w:val="single" w:sz="8" w:space="0" w:color="84B3DF"/>
        <w:insideH w:val="single" w:sz="8" w:space="0" w:color="84B3DF"/>
        <w:insideV w:val="single" w:sz="8" w:space="0" w:color="84B3DF"/>
      </w:tblBorders>
    </w:tblPr>
    <w:tcPr>
      <w:shd w:val="clear" w:color="auto" w:fill="D6E6F4"/>
    </w:tcPr>
    <w:tblStylePr w:type="firstRow">
      <w:rPr>
        <w:b/>
        <w:bCs/>
      </w:rPr>
    </w:tblStylePr>
    <w:tblStylePr w:type="lastRow">
      <w:rPr>
        <w:b/>
        <w:bCs/>
      </w:rPr>
      <w:tblPr/>
      <w:tcPr>
        <w:tcBorders>
          <w:top w:val="single" w:sz="18" w:space="0" w:color="84B3DF"/>
        </w:tcBorders>
      </w:tcPr>
    </w:tblStylePr>
    <w:tblStylePr w:type="firstCol">
      <w:rPr>
        <w:b/>
        <w:bCs/>
      </w:rPr>
    </w:tblStylePr>
    <w:tblStylePr w:type="lastCol">
      <w:rPr>
        <w:b/>
        <w:bCs/>
      </w:rPr>
    </w:tblStylePr>
    <w:tblStylePr w:type="band1Vert">
      <w:tblPr/>
      <w:tcPr>
        <w:shd w:val="clear" w:color="auto" w:fill="ADCCEA"/>
      </w:tcPr>
    </w:tblStylePr>
    <w:tblStylePr w:type="band1Horz">
      <w:tblPr/>
      <w:tcPr>
        <w:shd w:val="clear" w:color="auto" w:fill="ADCCEA"/>
      </w:tcPr>
    </w:tblStylePr>
  </w:style>
  <w:style w:type="table" w:customStyle="1" w:styleId="LightGrid-Accent1121412">
    <w:name w:val="Light Grid - Accent 1121412"/>
    <w:basedOn w:val="TableNormal"/>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Grid-Accent521412">
    <w:name w:val="Light Grid - Accent 521412"/>
    <w:basedOn w:val="TableNormal"/>
    <w:next w:val="LightGrid-Accent5"/>
    <w:uiPriority w:val="62"/>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Pr>
    <w:tblStylePr w:type="firstRow">
      <w:pPr>
        <w:spacing w:before="0" w:after="0" w:line="240" w:lineRule="auto"/>
      </w:pPr>
      <w:rPr>
        <w:rFonts w:ascii="Calibri Light" w:eastAsia="Times New Roman" w:hAnsi="Calibri Light" w:cs="Vrinda"/>
        <w:b/>
        <w:bCs/>
      </w:rPr>
      <w:tblPr/>
      <w:tcPr>
        <w:tcBorders>
          <w:top w:val="single" w:sz="8" w:space="0" w:color="4472C4"/>
          <w:left w:val="single" w:sz="8" w:space="0" w:color="4472C4"/>
          <w:bottom w:val="single" w:sz="18" w:space="0" w:color="4472C4"/>
          <w:right w:val="single" w:sz="8" w:space="0" w:color="4472C4"/>
          <w:insideH w:val="nil"/>
          <w:insideV w:val="single" w:sz="8" w:space="0" w:color="4472C4"/>
        </w:tcBorders>
      </w:tcPr>
    </w:tblStylePr>
    <w:tblStylePr w:type="lastRow">
      <w:pPr>
        <w:spacing w:before="0" w:after="0" w:line="240" w:lineRule="auto"/>
      </w:pPr>
      <w:rPr>
        <w:rFonts w:ascii="Calibri Light" w:eastAsia="Times New Roman" w:hAnsi="Calibri Light" w:cs="Vrinda"/>
        <w:b/>
        <w:bCs/>
      </w:rPr>
      <w:tblPr/>
      <w:tcPr>
        <w:tcBorders>
          <w:top w:val="double" w:sz="6" w:space="0" w:color="4472C4"/>
          <w:left w:val="single" w:sz="8" w:space="0" w:color="4472C4"/>
          <w:bottom w:val="single" w:sz="8" w:space="0" w:color="4472C4"/>
          <w:right w:val="single" w:sz="8" w:space="0" w:color="4472C4"/>
          <w:insideH w:val="nil"/>
          <w:insideV w:val="single" w:sz="8" w:space="0" w:color="4472C4"/>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4472C4"/>
          <w:left w:val="single" w:sz="8" w:space="0" w:color="4472C4"/>
          <w:bottom w:val="single" w:sz="8" w:space="0" w:color="4472C4"/>
          <w:right w:val="single" w:sz="8" w:space="0" w:color="4472C4"/>
        </w:tcBorders>
      </w:tcPr>
    </w:tblStylePr>
    <w:tblStylePr w:type="band1Vert">
      <w:tblPr/>
      <w:tcPr>
        <w:tcBorders>
          <w:top w:val="single" w:sz="8" w:space="0" w:color="4472C4"/>
          <w:left w:val="single" w:sz="8" w:space="0" w:color="4472C4"/>
          <w:bottom w:val="single" w:sz="8" w:space="0" w:color="4472C4"/>
          <w:right w:val="single" w:sz="8" w:space="0" w:color="4472C4"/>
        </w:tcBorders>
        <w:shd w:val="clear" w:color="auto" w:fill="D0DBF0"/>
      </w:tcPr>
    </w:tblStylePr>
    <w:tblStylePr w:type="band1Horz">
      <w:tblPr/>
      <w:tcPr>
        <w:tcBorders>
          <w:top w:val="single" w:sz="8" w:space="0" w:color="4472C4"/>
          <w:left w:val="single" w:sz="8" w:space="0" w:color="4472C4"/>
          <w:bottom w:val="single" w:sz="8" w:space="0" w:color="4472C4"/>
          <w:right w:val="single" w:sz="8" w:space="0" w:color="4472C4"/>
          <w:insideV w:val="single" w:sz="8" w:space="0" w:color="4472C4"/>
        </w:tcBorders>
        <w:shd w:val="clear" w:color="auto" w:fill="D0DBF0"/>
      </w:tcPr>
    </w:tblStylePr>
    <w:tblStylePr w:type="band2Horz">
      <w:tblPr/>
      <w:tcPr>
        <w:tcBorders>
          <w:top w:val="single" w:sz="8" w:space="0" w:color="4472C4"/>
          <w:left w:val="single" w:sz="8" w:space="0" w:color="4472C4"/>
          <w:bottom w:val="single" w:sz="8" w:space="0" w:color="4472C4"/>
          <w:right w:val="single" w:sz="8" w:space="0" w:color="4472C4"/>
          <w:insideV w:val="single" w:sz="8" w:space="0" w:color="4472C4"/>
        </w:tcBorders>
      </w:tcPr>
    </w:tblStylePr>
  </w:style>
  <w:style w:type="table" w:customStyle="1" w:styleId="LightGrid-Accent1221412">
    <w:name w:val="Light Grid - Accent 1221412"/>
    <w:basedOn w:val="TableNormal"/>
    <w:uiPriority w:val="62"/>
    <w:rsid w:val="00C64FC7"/>
    <w:pPr>
      <w:jc w:val="both"/>
    </w:pPr>
    <w:rPr>
      <w:rFonts w:ascii="Times New Roman" w:eastAsia="Calibri" w:hAnsi="Times New Roman"/>
      <w:lang w:val="en-IN"/>
    </w:rPr>
    <w:tblPr>
      <w:tblStyleRowBandSize w:val="1"/>
      <w:tblStyleColBandSize w:val="1"/>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Pr>
    <w:tblStylePr w:type="firstRow">
      <w:pPr>
        <w:spacing w:before="0" w:after="0" w:line="240" w:lineRule="auto"/>
      </w:pPr>
      <w:rPr>
        <w:rFonts w:ascii="Calibri Light" w:eastAsia="Times New Roman" w:hAnsi="Calibri Light" w:cs="Vrinda"/>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libri Light" w:eastAsia="Times New Roman" w:hAnsi="Calibri Light" w:cs="Vrinda"/>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libri Light" w:eastAsia="Times New Roman" w:hAnsi="Calibri Light" w:cs="Vrinda"/>
        <w:b/>
        <w:bCs/>
      </w:rPr>
    </w:tblStylePr>
    <w:tblStylePr w:type="lastCol">
      <w:rPr>
        <w:rFonts w:ascii="Calibri Light" w:eastAsia="Times New Roman" w:hAnsi="Calibri Light" w:cs="Vrinda"/>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LightList-Accent521412">
    <w:name w:val="Light List - Accent 521412"/>
    <w:basedOn w:val="TableNormal"/>
    <w:next w:val="LightList-Accent5"/>
    <w:uiPriority w:val="61"/>
    <w:rsid w:val="00C64FC7"/>
    <w:pPr>
      <w:jc w:val="both"/>
    </w:pPr>
    <w:rPr>
      <w:rFonts w:ascii="Calibri" w:eastAsia="Calibri" w:hAnsi="Calibri" w:cs="Vrinda"/>
      <w:sz w:val="22"/>
      <w:szCs w:val="22"/>
      <w:lang w:val="en-US"/>
    </w:rPr>
    <w:tblPr>
      <w:tblStyleRowBandSize w:val="1"/>
      <w:tblStyleColBandSize w:val="1"/>
      <w:tblBorders>
        <w:top w:val="single" w:sz="8" w:space="0" w:color="4472C4"/>
        <w:left w:val="single" w:sz="8" w:space="0" w:color="4472C4"/>
        <w:bottom w:val="single" w:sz="8" w:space="0" w:color="4472C4"/>
        <w:right w:val="single" w:sz="8" w:space="0" w:color="4472C4"/>
      </w:tblBorders>
    </w:tblPr>
    <w:tblStylePr w:type="firstRow">
      <w:pPr>
        <w:spacing w:before="0" w:after="0" w:line="240" w:lineRule="auto"/>
      </w:pPr>
      <w:rPr>
        <w:b/>
        <w:bCs/>
        <w:color w:val="FFFFFF"/>
      </w:rPr>
      <w:tblPr/>
      <w:tcPr>
        <w:shd w:val="clear" w:color="auto" w:fill="4472C4"/>
      </w:tcPr>
    </w:tblStylePr>
    <w:tblStylePr w:type="lastRow">
      <w:pPr>
        <w:spacing w:before="0" w:after="0" w:line="240" w:lineRule="auto"/>
      </w:pPr>
      <w:rPr>
        <w:b/>
        <w:bCs/>
      </w:rPr>
      <w:tblPr/>
      <w:tcPr>
        <w:tcBorders>
          <w:top w:val="double" w:sz="6" w:space="0" w:color="4472C4"/>
          <w:left w:val="single" w:sz="8" w:space="0" w:color="4472C4"/>
          <w:bottom w:val="single" w:sz="8" w:space="0" w:color="4472C4"/>
          <w:right w:val="single" w:sz="8" w:space="0" w:color="4472C4"/>
        </w:tcBorders>
      </w:tcPr>
    </w:tblStylePr>
    <w:tblStylePr w:type="firstCol">
      <w:rPr>
        <w:b/>
        <w:bCs/>
      </w:rPr>
    </w:tblStylePr>
    <w:tblStylePr w:type="lastCol">
      <w:rPr>
        <w:b/>
        <w:bCs/>
      </w:rPr>
    </w:tblStylePr>
    <w:tblStylePr w:type="band1Vert">
      <w:tblPr/>
      <w:tcPr>
        <w:tcBorders>
          <w:top w:val="single" w:sz="8" w:space="0" w:color="4472C4"/>
          <w:left w:val="single" w:sz="8" w:space="0" w:color="4472C4"/>
          <w:bottom w:val="single" w:sz="8" w:space="0" w:color="4472C4"/>
          <w:right w:val="single" w:sz="8" w:space="0" w:color="4472C4"/>
        </w:tcBorders>
      </w:tcPr>
    </w:tblStylePr>
    <w:tblStylePr w:type="band1Horz">
      <w:tblPr/>
      <w:tcPr>
        <w:tcBorders>
          <w:top w:val="single" w:sz="8" w:space="0" w:color="4472C4"/>
          <w:left w:val="single" w:sz="8" w:space="0" w:color="4472C4"/>
          <w:bottom w:val="single" w:sz="8" w:space="0" w:color="4472C4"/>
          <w:right w:val="single" w:sz="8" w:space="0" w:color="4472C4"/>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88553">
      <w:bodyDiv w:val="1"/>
      <w:marLeft w:val="0"/>
      <w:marRight w:val="0"/>
      <w:marTop w:val="0"/>
      <w:marBottom w:val="0"/>
      <w:divBdr>
        <w:top w:val="none" w:sz="0" w:space="0" w:color="auto"/>
        <w:left w:val="none" w:sz="0" w:space="0" w:color="auto"/>
        <w:bottom w:val="none" w:sz="0" w:space="0" w:color="auto"/>
        <w:right w:val="none" w:sz="0" w:space="0" w:color="auto"/>
      </w:divBdr>
    </w:div>
    <w:div w:id="13310316">
      <w:bodyDiv w:val="1"/>
      <w:marLeft w:val="0"/>
      <w:marRight w:val="0"/>
      <w:marTop w:val="0"/>
      <w:marBottom w:val="0"/>
      <w:divBdr>
        <w:top w:val="none" w:sz="0" w:space="0" w:color="auto"/>
        <w:left w:val="none" w:sz="0" w:space="0" w:color="auto"/>
        <w:bottom w:val="none" w:sz="0" w:space="0" w:color="auto"/>
        <w:right w:val="none" w:sz="0" w:space="0" w:color="auto"/>
      </w:divBdr>
    </w:div>
    <w:div w:id="13578146">
      <w:bodyDiv w:val="1"/>
      <w:marLeft w:val="0"/>
      <w:marRight w:val="0"/>
      <w:marTop w:val="0"/>
      <w:marBottom w:val="0"/>
      <w:divBdr>
        <w:top w:val="none" w:sz="0" w:space="0" w:color="auto"/>
        <w:left w:val="none" w:sz="0" w:space="0" w:color="auto"/>
        <w:bottom w:val="none" w:sz="0" w:space="0" w:color="auto"/>
        <w:right w:val="none" w:sz="0" w:space="0" w:color="auto"/>
      </w:divBdr>
      <w:divsChild>
        <w:div w:id="2105369961">
          <w:marLeft w:val="0"/>
          <w:marRight w:val="0"/>
          <w:marTop w:val="0"/>
          <w:marBottom w:val="0"/>
          <w:divBdr>
            <w:top w:val="none" w:sz="0" w:space="0" w:color="auto"/>
            <w:left w:val="none" w:sz="0" w:space="0" w:color="auto"/>
            <w:bottom w:val="none" w:sz="0" w:space="0" w:color="auto"/>
            <w:right w:val="none" w:sz="0" w:space="0" w:color="auto"/>
          </w:divBdr>
        </w:div>
      </w:divsChild>
    </w:div>
    <w:div w:id="19207987">
      <w:bodyDiv w:val="1"/>
      <w:marLeft w:val="0"/>
      <w:marRight w:val="0"/>
      <w:marTop w:val="0"/>
      <w:marBottom w:val="0"/>
      <w:divBdr>
        <w:top w:val="none" w:sz="0" w:space="0" w:color="auto"/>
        <w:left w:val="none" w:sz="0" w:space="0" w:color="auto"/>
        <w:bottom w:val="none" w:sz="0" w:space="0" w:color="auto"/>
        <w:right w:val="none" w:sz="0" w:space="0" w:color="auto"/>
      </w:divBdr>
    </w:div>
    <w:div w:id="19475855">
      <w:bodyDiv w:val="1"/>
      <w:marLeft w:val="0"/>
      <w:marRight w:val="0"/>
      <w:marTop w:val="0"/>
      <w:marBottom w:val="0"/>
      <w:divBdr>
        <w:top w:val="none" w:sz="0" w:space="0" w:color="auto"/>
        <w:left w:val="none" w:sz="0" w:space="0" w:color="auto"/>
        <w:bottom w:val="none" w:sz="0" w:space="0" w:color="auto"/>
        <w:right w:val="none" w:sz="0" w:space="0" w:color="auto"/>
      </w:divBdr>
    </w:div>
    <w:div w:id="28579509">
      <w:bodyDiv w:val="1"/>
      <w:marLeft w:val="0"/>
      <w:marRight w:val="0"/>
      <w:marTop w:val="0"/>
      <w:marBottom w:val="0"/>
      <w:divBdr>
        <w:top w:val="none" w:sz="0" w:space="0" w:color="auto"/>
        <w:left w:val="none" w:sz="0" w:space="0" w:color="auto"/>
        <w:bottom w:val="none" w:sz="0" w:space="0" w:color="auto"/>
        <w:right w:val="none" w:sz="0" w:space="0" w:color="auto"/>
      </w:divBdr>
    </w:div>
    <w:div w:id="30688402">
      <w:bodyDiv w:val="1"/>
      <w:marLeft w:val="0"/>
      <w:marRight w:val="0"/>
      <w:marTop w:val="0"/>
      <w:marBottom w:val="0"/>
      <w:divBdr>
        <w:top w:val="none" w:sz="0" w:space="0" w:color="auto"/>
        <w:left w:val="none" w:sz="0" w:space="0" w:color="auto"/>
        <w:bottom w:val="none" w:sz="0" w:space="0" w:color="auto"/>
        <w:right w:val="none" w:sz="0" w:space="0" w:color="auto"/>
      </w:divBdr>
    </w:div>
    <w:div w:id="31350755">
      <w:bodyDiv w:val="1"/>
      <w:marLeft w:val="0"/>
      <w:marRight w:val="0"/>
      <w:marTop w:val="0"/>
      <w:marBottom w:val="0"/>
      <w:divBdr>
        <w:top w:val="none" w:sz="0" w:space="0" w:color="auto"/>
        <w:left w:val="none" w:sz="0" w:space="0" w:color="auto"/>
        <w:bottom w:val="none" w:sz="0" w:space="0" w:color="auto"/>
        <w:right w:val="none" w:sz="0" w:space="0" w:color="auto"/>
      </w:divBdr>
    </w:div>
    <w:div w:id="33315537">
      <w:bodyDiv w:val="1"/>
      <w:marLeft w:val="0"/>
      <w:marRight w:val="0"/>
      <w:marTop w:val="0"/>
      <w:marBottom w:val="0"/>
      <w:divBdr>
        <w:top w:val="none" w:sz="0" w:space="0" w:color="auto"/>
        <w:left w:val="none" w:sz="0" w:space="0" w:color="auto"/>
        <w:bottom w:val="none" w:sz="0" w:space="0" w:color="auto"/>
        <w:right w:val="none" w:sz="0" w:space="0" w:color="auto"/>
      </w:divBdr>
      <w:divsChild>
        <w:div w:id="1843623163">
          <w:marLeft w:val="0"/>
          <w:marRight w:val="0"/>
          <w:marTop w:val="0"/>
          <w:marBottom w:val="0"/>
          <w:divBdr>
            <w:top w:val="none" w:sz="0" w:space="0" w:color="auto"/>
            <w:left w:val="none" w:sz="0" w:space="0" w:color="auto"/>
            <w:bottom w:val="none" w:sz="0" w:space="0" w:color="auto"/>
            <w:right w:val="none" w:sz="0" w:space="0" w:color="auto"/>
          </w:divBdr>
        </w:div>
        <w:div w:id="1726680702">
          <w:marLeft w:val="0"/>
          <w:marRight w:val="0"/>
          <w:marTop w:val="0"/>
          <w:marBottom w:val="0"/>
          <w:divBdr>
            <w:top w:val="none" w:sz="0" w:space="0" w:color="auto"/>
            <w:left w:val="none" w:sz="0" w:space="0" w:color="auto"/>
            <w:bottom w:val="none" w:sz="0" w:space="0" w:color="auto"/>
            <w:right w:val="none" w:sz="0" w:space="0" w:color="auto"/>
          </w:divBdr>
        </w:div>
        <w:div w:id="1944070104">
          <w:marLeft w:val="0"/>
          <w:marRight w:val="0"/>
          <w:marTop w:val="0"/>
          <w:marBottom w:val="0"/>
          <w:divBdr>
            <w:top w:val="none" w:sz="0" w:space="0" w:color="auto"/>
            <w:left w:val="none" w:sz="0" w:space="0" w:color="auto"/>
            <w:bottom w:val="none" w:sz="0" w:space="0" w:color="auto"/>
            <w:right w:val="none" w:sz="0" w:space="0" w:color="auto"/>
          </w:divBdr>
        </w:div>
        <w:div w:id="413475020">
          <w:marLeft w:val="0"/>
          <w:marRight w:val="0"/>
          <w:marTop w:val="0"/>
          <w:marBottom w:val="0"/>
          <w:divBdr>
            <w:top w:val="none" w:sz="0" w:space="0" w:color="auto"/>
            <w:left w:val="none" w:sz="0" w:space="0" w:color="auto"/>
            <w:bottom w:val="none" w:sz="0" w:space="0" w:color="auto"/>
            <w:right w:val="none" w:sz="0" w:space="0" w:color="auto"/>
          </w:divBdr>
        </w:div>
        <w:div w:id="1132092421">
          <w:marLeft w:val="0"/>
          <w:marRight w:val="0"/>
          <w:marTop w:val="0"/>
          <w:marBottom w:val="0"/>
          <w:divBdr>
            <w:top w:val="none" w:sz="0" w:space="0" w:color="auto"/>
            <w:left w:val="none" w:sz="0" w:space="0" w:color="auto"/>
            <w:bottom w:val="none" w:sz="0" w:space="0" w:color="auto"/>
            <w:right w:val="none" w:sz="0" w:space="0" w:color="auto"/>
          </w:divBdr>
        </w:div>
        <w:div w:id="1569459871">
          <w:marLeft w:val="0"/>
          <w:marRight w:val="0"/>
          <w:marTop w:val="0"/>
          <w:marBottom w:val="0"/>
          <w:divBdr>
            <w:top w:val="none" w:sz="0" w:space="0" w:color="auto"/>
            <w:left w:val="none" w:sz="0" w:space="0" w:color="auto"/>
            <w:bottom w:val="none" w:sz="0" w:space="0" w:color="auto"/>
            <w:right w:val="none" w:sz="0" w:space="0" w:color="auto"/>
          </w:divBdr>
        </w:div>
        <w:div w:id="2123573788">
          <w:marLeft w:val="0"/>
          <w:marRight w:val="0"/>
          <w:marTop w:val="0"/>
          <w:marBottom w:val="0"/>
          <w:divBdr>
            <w:top w:val="none" w:sz="0" w:space="0" w:color="auto"/>
            <w:left w:val="none" w:sz="0" w:space="0" w:color="auto"/>
            <w:bottom w:val="none" w:sz="0" w:space="0" w:color="auto"/>
            <w:right w:val="none" w:sz="0" w:space="0" w:color="auto"/>
          </w:divBdr>
        </w:div>
        <w:div w:id="463542758">
          <w:marLeft w:val="0"/>
          <w:marRight w:val="0"/>
          <w:marTop w:val="0"/>
          <w:marBottom w:val="0"/>
          <w:divBdr>
            <w:top w:val="none" w:sz="0" w:space="0" w:color="auto"/>
            <w:left w:val="none" w:sz="0" w:space="0" w:color="auto"/>
            <w:bottom w:val="none" w:sz="0" w:space="0" w:color="auto"/>
            <w:right w:val="none" w:sz="0" w:space="0" w:color="auto"/>
          </w:divBdr>
        </w:div>
        <w:div w:id="767821550">
          <w:marLeft w:val="0"/>
          <w:marRight w:val="0"/>
          <w:marTop w:val="0"/>
          <w:marBottom w:val="0"/>
          <w:divBdr>
            <w:top w:val="none" w:sz="0" w:space="0" w:color="auto"/>
            <w:left w:val="none" w:sz="0" w:space="0" w:color="auto"/>
            <w:bottom w:val="none" w:sz="0" w:space="0" w:color="auto"/>
            <w:right w:val="none" w:sz="0" w:space="0" w:color="auto"/>
          </w:divBdr>
        </w:div>
        <w:div w:id="1386640956">
          <w:marLeft w:val="0"/>
          <w:marRight w:val="0"/>
          <w:marTop w:val="0"/>
          <w:marBottom w:val="0"/>
          <w:divBdr>
            <w:top w:val="none" w:sz="0" w:space="0" w:color="auto"/>
            <w:left w:val="none" w:sz="0" w:space="0" w:color="auto"/>
            <w:bottom w:val="none" w:sz="0" w:space="0" w:color="auto"/>
            <w:right w:val="none" w:sz="0" w:space="0" w:color="auto"/>
          </w:divBdr>
        </w:div>
        <w:div w:id="304824829">
          <w:marLeft w:val="0"/>
          <w:marRight w:val="0"/>
          <w:marTop w:val="0"/>
          <w:marBottom w:val="0"/>
          <w:divBdr>
            <w:top w:val="none" w:sz="0" w:space="0" w:color="auto"/>
            <w:left w:val="none" w:sz="0" w:space="0" w:color="auto"/>
            <w:bottom w:val="none" w:sz="0" w:space="0" w:color="auto"/>
            <w:right w:val="none" w:sz="0" w:space="0" w:color="auto"/>
          </w:divBdr>
        </w:div>
        <w:div w:id="764770610">
          <w:marLeft w:val="0"/>
          <w:marRight w:val="0"/>
          <w:marTop w:val="0"/>
          <w:marBottom w:val="0"/>
          <w:divBdr>
            <w:top w:val="none" w:sz="0" w:space="0" w:color="auto"/>
            <w:left w:val="none" w:sz="0" w:space="0" w:color="auto"/>
            <w:bottom w:val="none" w:sz="0" w:space="0" w:color="auto"/>
            <w:right w:val="none" w:sz="0" w:space="0" w:color="auto"/>
          </w:divBdr>
        </w:div>
        <w:div w:id="847597016">
          <w:marLeft w:val="0"/>
          <w:marRight w:val="0"/>
          <w:marTop w:val="0"/>
          <w:marBottom w:val="0"/>
          <w:divBdr>
            <w:top w:val="none" w:sz="0" w:space="0" w:color="auto"/>
            <w:left w:val="none" w:sz="0" w:space="0" w:color="auto"/>
            <w:bottom w:val="none" w:sz="0" w:space="0" w:color="auto"/>
            <w:right w:val="none" w:sz="0" w:space="0" w:color="auto"/>
          </w:divBdr>
        </w:div>
        <w:div w:id="2015722103">
          <w:marLeft w:val="0"/>
          <w:marRight w:val="0"/>
          <w:marTop w:val="0"/>
          <w:marBottom w:val="0"/>
          <w:divBdr>
            <w:top w:val="none" w:sz="0" w:space="0" w:color="auto"/>
            <w:left w:val="none" w:sz="0" w:space="0" w:color="auto"/>
            <w:bottom w:val="none" w:sz="0" w:space="0" w:color="auto"/>
            <w:right w:val="none" w:sz="0" w:space="0" w:color="auto"/>
          </w:divBdr>
        </w:div>
        <w:div w:id="1180465105">
          <w:marLeft w:val="0"/>
          <w:marRight w:val="0"/>
          <w:marTop w:val="0"/>
          <w:marBottom w:val="0"/>
          <w:divBdr>
            <w:top w:val="none" w:sz="0" w:space="0" w:color="auto"/>
            <w:left w:val="none" w:sz="0" w:space="0" w:color="auto"/>
            <w:bottom w:val="none" w:sz="0" w:space="0" w:color="auto"/>
            <w:right w:val="none" w:sz="0" w:space="0" w:color="auto"/>
          </w:divBdr>
        </w:div>
        <w:div w:id="827667789">
          <w:marLeft w:val="0"/>
          <w:marRight w:val="0"/>
          <w:marTop w:val="0"/>
          <w:marBottom w:val="0"/>
          <w:divBdr>
            <w:top w:val="none" w:sz="0" w:space="0" w:color="auto"/>
            <w:left w:val="none" w:sz="0" w:space="0" w:color="auto"/>
            <w:bottom w:val="none" w:sz="0" w:space="0" w:color="auto"/>
            <w:right w:val="none" w:sz="0" w:space="0" w:color="auto"/>
          </w:divBdr>
        </w:div>
        <w:div w:id="1385062433">
          <w:marLeft w:val="0"/>
          <w:marRight w:val="0"/>
          <w:marTop w:val="0"/>
          <w:marBottom w:val="0"/>
          <w:divBdr>
            <w:top w:val="none" w:sz="0" w:space="0" w:color="auto"/>
            <w:left w:val="none" w:sz="0" w:space="0" w:color="auto"/>
            <w:bottom w:val="none" w:sz="0" w:space="0" w:color="auto"/>
            <w:right w:val="none" w:sz="0" w:space="0" w:color="auto"/>
          </w:divBdr>
        </w:div>
        <w:div w:id="1688943621">
          <w:marLeft w:val="0"/>
          <w:marRight w:val="0"/>
          <w:marTop w:val="0"/>
          <w:marBottom w:val="0"/>
          <w:divBdr>
            <w:top w:val="none" w:sz="0" w:space="0" w:color="auto"/>
            <w:left w:val="none" w:sz="0" w:space="0" w:color="auto"/>
            <w:bottom w:val="none" w:sz="0" w:space="0" w:color="auto"/>
            <w:right w:val="none" w:sz="0" w:space="0" w:color="auto"/>
          </w:divBdr>
        </w:div>
        <w:div w:id="831024916">
          <w:marLeft w:val="0"/>
          <w:marRight w:val="0"/>
          <w:marTop w:val="0"/>
          <w:marBottom w:val="0"/>
          <w:divBdr>
            <w:top w:val="none" w:sz="0" w:space="0" w:color="auto"/>
            <w:left w:val="none" w:sz="0" w:space="0" w:color="auto"/>
            <w:bottom w:val="none" w:sz="0" w:space="0" w:color="auto"/>
            <w:right w:val="none" w:sz="0" w:space="0" w:color="auto"/>
          </w:divBdr>
        </w:div>
        <w:div w:id="58554659">
          <w:marLeft w:val="0"/>
          <w:marRight w:val="0"/>
          <w:marTop w:val="0"/>
          <w:marBottom w:val="0"/>
          <w:divBdr>
            <w:top w:val="none" w:sz="0" w:space="0" w:color="auto"/>
            <w:left w:val="none" w:sz="0" w:space="0" w:color="auto"/>
            <w:bottom w:val="none" w:sz="0" w:space="0" w:color="auto"/>
            <w:right w:val="none" w:sz="0" w:space="0" w:color="auto"/>
          </w:divBdr>
        </w:div>
        <w:div w:id="1780366795">
          <w:marLeft w:val="0"/>
          <w:marRight w:val="0"/>
          <w:marTop w:val="0"/>
          <w:marBottom w:val="0"/>
          <w:divBdr>
            <w:top w:val="none" w:sz="0" w:space="0" w:color="auto"/>
            <w:left w:val="none" w:sz="0" w:space="0" w:color="auto"/>
            <w:bottom w:val="none" w:sz="0" w:space="0" w:color="auto"/>
            <w:right w:val="none" w:sz="0" w:space="0" w:color="auto"/>
          </w:divBdr>
        </w:div>
        <w:div w:id="670988903">
          <w:marLeft w:val="0"/>
          <w:marRight w:val="0"/>
          <w:marTop w:val="0"/>
          <w:marBottom w:val="0"/>
          <w:divBdr>
            <w:top w:val="none" w:sz="0" w:space="0" w:color="auto"/>
            <w:left w:val="none" w:sz="0" w:space="0" w:color="auto"/>
            <w:bottom w:val="none" w:sz="0" w:space="0" w:color="auto"/>
            <w:right w:val="none" w:sz="0" w:space="0" w:color="auto"/>
          </w:divBdr>
        </w:div>
        <w:div w:id="1650010697">
          <w:marLeft w:val="0"/>
          <w:marRight w:val="0"/>
          <w:marTop w:val="0"/>
          <w:marBottom w:val="0"/>
          <w:divBdr>
            <w:top w:val="none" w:sz="0" w:space="0" w:color="auto"/>
            <w:left w:val="none" w:sz="0" w:space="0" w:color="auto"/>
            <w:bottom w:val="none" w:sz="0" w:space="0" w:color="auto"/>
            <w:right w:val="none" w:sz="0" w:space="0" w:color="auto"/>
          </w:divBdr>
        </w:div>
        <w:div w:id="1285037378">
          <w:marLeft w:val="0"/>
          <w:marRight w:val="0"/>
          <w:marTop w:val="0"/>
          <w:marBottom w:val="0"/>
          <w:divBdr>
            <w:top w:val="none" w:sz="0" w:space="0" w:color="auto"/>
            <w:left w:val="none" w:sz="0" w:space="0" w:color="auto"/>
            <w:bottom w:val="none" w:sz="0" w:space="0" w:color="auto"/>
            <w:right w:val="none" w:sz="0" w:space="0" w:color="auto"/>
          </w:divBdr>
        </w:div>
      </w:divsChild>
    </w:div>
    <w:div w:id="38748654">
      <w:bodyDiv w:val="1"/>
      <w:marLeft w:val="0"/>
      <w:marRight w:val="0"/>
      <w:marTop w:val="0"/>
      <w:marBottom w:val="0"/>
      <w:divBdr>
        <w:top w:val="none" w:sz="0" w:space="0" w:color="auto"/>
        <w:left w:val="none" w:sz="0" w:space="0" w:color="auto"/>
        <w:bottom w:val="none" w:sz="0" w:space="0" w:color="auto"/>
        <w:right w:val="none" w:sz="0" w:space="0" w:color="auto"/>
      </w:divBdr>
    </w:div>
    <w:div w:id="42826555">
      <w:bodyDiv w:val="1"/>
      <w:marLeft w:val="0"/>
      <w:marRight w:val="0"/>
      <w:marTop w:val="0"/>
      <w:marBottom w:val="0"/>
      <w:divBdr>
        <w:top w:val="none" w:sz="0" w:space="0" w:color="auto"/>
        <w:left w:val="none" w:sz="0" w:space="0" w:color="auto"/>
        <w:bottom w:val="none" w:sz="0" w:space="0" w:color="auto"/>
        <w:right w:val="none" w:sz="0" w:space="0" w:color="auto"/>
      </w:divBdr>
    </w:div>
    <w:div w:id="44527007">
      <w:bodyDiv w:val="1"/>
      <w:marLeft w:val="0"/>
      <w:marRight w:val="0"/>
      <w:marTop w:val="0"/>
      <w:marBottom w:val="0"/>
      <w:divBdr>
        <w:top w:val="none" w:sz="0" w:space="0" w:color="auto"/>
        <w:left w:val="none" w:sz="0" w:space="0" w:color="auto"/>
        <w:bottom w:val="none" w:sz="0" w:space="0" w:color="auto"/>
        <w:right w:val="none" w:sz="0" w:space="0" w:color="auto"/>
      </w:divBdr>
    </w:div>
    <w:div w:id="51082171">
      <w:bodyDiv w:val="1"/>
      <w:marLeft w:val="0"/>
      <w:marRight w:val="0"/>
      <w:marTop w:val="0"/>
      <w:marBottom w:val="0"/>
      <w:divBdr>
        <w:top w:val="none" w:sz="0" w:space="0" w:color="auto"/>
        <w:left w:val="none" w:sz="0" w:space="0" w:color="auto"/>
        <w:bottom w:val="none" w:sz="0" w:space="0" w:color="auto"/>
        <w:right w:val="none" w:sz="0" w:space="0" w:color="auto"/>
      </w:divBdr>
    </w:div>
    <w:div w:id="54356867">
      <w:bodyDiv w:val="1"/>
      <w:marLeft w:val="0"/>
      <w:marRight w:val="0"/>
      <w:marTop w:val="0"/>
      <w:marBottom w:val="0"/>
      <w:divBdr>
        <w:top w:val="none" w:sz="0" w:space="0" w:color="auto"/>
        <w:left w:val="none" w:sz="0" w:space="0" w:color="auto"/>
        <w:bottom w:val="none" w:sz="0" w:space="0" w:color="auto"/>
        <w:right w:val="none" w:sz="0" w:space="0" w:color="auto"/>
      </w:divBdr>
    </w:div>
    <w:div w:id="58673668">
      <w:bodyDiv w:val="1"/>
      <w:marLeft w:val="0"/>
      <w:marRight w:val="0"/>
      <w:marTop w:val="0"/>
      <w:marBottom w:val="0"/>
      <w:divBdr>
        <w:top w:val="none" w:sz="0" w:space="0" w:color="auto"/>
        <w:left w:val="none" w:sz="0" w:space="0" w:color="auto"/>
        <w:bottom w:val="none" w:sz="0" w:space="0" w:color="auto"/>
        <w:right w:val="none" w:sz="0" w:space="0" w:color="auto"/>
      </w:divBdr>
    </w:div>
    <w:div w:id="64572798">
      <w:bodyDiv w:val="1"/>
      <w:marLeft w:val="0"/>
      <w:marRight w:val="0"/>
      <w:marTop w:val="0"/>
      <w:marBottom w:val="0"/>
      <w:divBdr>
        <w:top w:val="none" w:sz="0" w:space="0" w:color="auto"/>
        <w:left w:val="none" w:sz="0" w:space="0" w:color="auto"/>
        <w:bottom w:val="none" w:sz="0" w:space="0" w:color="auto"/>
        <w:right w:val="none" w:sz="0" w:space="0" w:color="auto"/>
      </w:divBdr>
    </w:div>
    <w:div w:id="64762157">
      <w:bodyDiv w:val="1"/>
      <w:marLeft w:val="0"/>
      <w:marRight w:val="0"/>
      <w:marTop w:val="0"/>
      <w:marBottom w:val="0"/>
      <w:divBdr>
        <w:top w:val="none" w:sz="0" w:space="0" w:color="auto"/>
        <w:left w:val="none" w:sz="0" w:space="0" w:color="auto"/>
        <w:bottom w:val="none" w:sz="0" w:space="0" w:color="auto"/>
        <w:right w:val="none" w:sz="0" w:space="0" w:color="auto"/>
      </w:divBdr>
      <w:divsChild>
        <w:div w:id="1615012710">
          <w:marLeft w:val="0"/>
          <w:marRight w:val="0"/>
          <w:marTop w:val="0"/>
          <w:marBottom w:val="0"/>
          <w:divBdr>
            <w:top w:val="none" w:sz="0" w:space="0" w:color="auto"/>
            <w:left w:val="none" w:sz="0" w:space="0" w:color="auto"/>
            <w:bottom w:val="none" w:sz="0" w:space="0" w:color="auto"/>
            <w:right w:val="none" w:sz="0" w:space="0" w:color="auto"/>
          </w:divBdr>
        </w:div>
      </w:divsChild>
    </w:div>
    <w:div w:id="66343589">
      <w:bodyDiv w:val="1"/>
      <w:marLeft w:val="0"/>
      <w:marRight w:val="0"/>
      <w:marTop w:val="0"/>
      <w:marBottom w:val="0"/>
      <w:divBdr>
        <w:top w:val="none" w:sz="0" w:space="0" w:color="auto"/>
        <w:left w:val="none" w:sz="0" w:space="0" w:color="auto"/>
        <w:bottom w:val="none" w:sz="0" w:space="0" w:color="auto"/>
        <w:right w:val="none" w:sz="0" w:space="0" w:color="auto"/>
      </w:divBdr>
    </w:div>
    <w:div w:id="71195577">
      <w:bodyDiv w:val="1"/>
      <w:marLeft w:val="0"/>
      <w:marRight w:val="0"/>
      <w:marTop w:val="0"/>
      <w:marBottom w:val="0"/>
      <w:divBdr>
        <w:top w:val="none" w:sz="0" w:space="0" w:color="auto"/>
        <w:left w:val="none" w:sz="0" w:space="0" w:color="auto"/>
        <w:bottom w:val="none" w:sz="0" w:space="0" w:color="auto"/>
        <w:right w:val="none" w:sz="0" w:space="0" w:color="auto"/>
      </w:divBdr>
    </w:div>
    <w:div w:id="73279492">
      <w:bodyDiv w:val="1"/>
      <w:marLeft w:val="0"/>
      <w:marRight w:val="0"/>
      <w:marTop w:val="0"/>
      <w:marBottom w:val="0"/>
      <w:divBdr>
        <w:top w:val="none" w:sz="0" w:space="0" w:color="auto"/>
        <w:left w:val="none" w:sz="0" w:space="0" w:color="auto"/>
        <w:bottom w:val="none" w:sz="0" w:space="0" w:color="auto"/>
        <w:right w:val="none" w:sz="0" w:space="0" w:color="auto"/>
      </w:divBdr>
    </w:div>
    <w:div w:id="74254284">
      <w:bodyDiv w:val="1"/>
      <w:marLeft w:val="0"/>
      <w:marRight w:val="0"/>
      <w:marTop w:val="0"/>
      <w:marBottom w:val="0"/>
      <w:divBdr>
        <w:top w:val="none" w:sz="0" w:space="0" w:color="auto"/>
        <w:left w:val="none" w:sz="0" w:space="0" w:color="auto"/>
        <w:bottom w:val="none" w:sz="0" w:space="0" w:color="auto"/>
        <w:right w:val="none" w:sz="0" w:space="0" w:color="auto"/>
      </w:divBdr>
    </w:div>
    <w:div w:id="74280638">
      <w:bodyDiv w:val="1"/>
      <w:marLeft w:val="0"/>
      <w:marRight w:val="0"/>
      <w:marTop w:val="0"/>
      <w:marBottom w:val="0"/>
      <w:divBdr>
        <w:top w:val="none" w:sz="0" w:space="0" w:color="auto"/>
        <w:left w:val="none" w:sz="0" w:space="0" w:color="auto"/>
        <w:bottom w:val="none" w:sz="0" w:space="0" w:color="auto"/>
        <w:right w:val="none" w:sz="0" w:space="0" w:color="auto"/>
      </w:divBdr>
    </w:div>
    <w:div w:id="78141133">
      <w:bodyDiv w:val="1"/>
      <w:marLeft w:val="0"/>
      <w:marRight w:val="0"/>
      <w:marTop w:val="0"/>
      <w:marBottom w:val="0"/>
      <w:divBdr>
        <w:top w:val="none" w:sz="0" w:space="0" w:color="auto"/>
        <w:left w:val="none" w:sz="0" w:space="0" w:color="auto"/>
        <w:bottom w:val="none" w:sz="0" w:space="0" w:color="auto"/>
        <w:right w:val="none" w:sz="0" w:space="0" w:color="auto"/>
      </w:divBdr>
    </w:div>
    <w:div w:id="78143174">
      <w:bodyDiv w:val="1"/>
      <w:marLeft w:val="0"/>
      <w:marRight w:val="0"/>
      <w:marTop w:val="0"/>
      <w:marBottom w:val="0"/>
      <w:divBdr>
        <w:top w:val="none" w:sz="0" w:space="0" w:color="auto"/>
        <w:left w:val="none" w:sz="0" w:space="0" w:color="auto"/>
        <w:bottom w:val="none" w:sz="0" w:space="0" w:color="auto"/>
        <w:right w:val="none" w:sz="0" w:space="0" w:color="auto"/>
      </w:divBdr>
    </w:div>
    <w:div w:id="83497711">
      <w:bodyDiv w:val="1"/>
      <w:marLeft w:val="0"/>
      <w:marRight w:val="0"/>
      <w:marTop w:val="0"/>
      <w:marBottom w:val="0"/>
      <w:divBdr>
        <w:top w:val="none" w:sz="0" w:space="0" w:color="auto"/>
        <w:left w:val="none" w:sz="0" w:space="0" w:color="auto"/>
        <w:bottom w:val="none" w:sz="0" w:space="0" w:color="auto"/>
        <w:right w:val="none" w:sz="0" w:space="0" w:color="auto"/>
      </w:divBdr>
    </w:div>
    <w:div w:id="86271895">
      <w:bodyDiv w:val="1"/>
      <w:marLeft w:val="0"/>
      <w:marRight w:val="0"/>
      <w:marTop w:val="0"/>
      <w:marBottom w:val="0"/>
      <w:divBdr>
        <w:top w:val="none" w:sz="0" w:space="0" w:color="auto"/>
        <w:left w:val="none" w:sz="0" w:space="0" w:color="auto"/>
        <w:bottom w:val="none" w:sz="0" w:space="0" w:color="auto"/>
        <w:right w:val="none" w:sz="0" w:space="0" w:color="auto"/>
      </w:divBdr>
    </w:div>
    <w:div w:id="87847649">
      <w:bodyDiv w:val="1"/>
      <w:marLeft w:val="0"/>
      <w:marRight w:val="0"/>
      <w:marTop w:val="0"/>
      <w:marBottom w:val="0"/>
      <w:divBdr>
        <w:top w:val="none" w:sz="0" w:space="0" w:color="auto"/>
        <w:left w:val="none" w:sz="0" w:space="0" w:color="auto"/>
        <w:bottom w:val="none" w:sz="0" w:space="0" w:color="auto"/>
        <w:right w:val="none" w:sz="0" w:space="0" w:color="auto"/>
      </w:divBdr>
    </w:div>
    <w:div w:id="91901644">
      <w:bodyDiv w:val="1"/>
      <w:marLeft w:val="0"/>
      <w:marRight w:val="0"/>
      <w:marTop w:val="0"/>
      <w:marBottom w:val="0"/>
      <w:divBdr>
        <w:top w:val="none" w:sz="0" w:space="0" w:color="auto"/>
        <w:left w:val="none" w:sz="0" w:space="0" w:color="auto"/>
        <w:bottom w:val="none" w:sz="0" w:space="0" w:color="auto"/>
        <w:right w:val="none" w:sz="0" w:space="0" w:color="auto"/>
      </w:divBdr>
    </w:div>
    <w:div w:id="94207537">
      <w:bodyDiv w:val="1"/>
      <w:marLeft w:val="0"/>
      <w:marRight w:val="0"/>
      <w:marTop w:val="0"/>
      <w:marBottom w:val="0"/>
      <w:divBdr>
        <w:top w:val="none" w:sz="0" w:space="0" w:color="auto"/>
        <w:left w:val="none" w:sz="0" w:space="0" w:color="auto"/>
        <w:bottom w:val="none" w:sz="0" w:space="0" w:color="auto"/>
        <w:right w:val="none" w:sz="0" w:space="0" w:color="auto"/>
      </w:divBdr>
    </w:div>
    <w:div w:id="95370907">
      <w:bodyDiv w:val="1"/>
      <w:marLeft w:val="0"/>
      <w:marRight w:val="0"/>
      <w:marTop w:val="0"/>
      <w:marBottom w:val="0"/>
      <w:divBdr>
        <w:top w:val="none" w:sz="0" w:space="0" w:color="auto"/>
        <w:left w:val="none" w:sz="0" w:space="0" w:color="auto"/>
        <w:bottom w:val="none" w:sz="0" w:space="0" w:color="auto"/>
        <w:right w:val="none" w:sz="0" w:space="0" w:color="auto"/>
      </w:divBdr>
    </w:div>
    <w:div w:id="96216600">
      <w:bodyDiv w:val="1"/>
      <w:marLeft w:val="0"/>
      <w:marRight w:val="0"/>
      <w:marTop w:val="0"/>
      <w:marBottom w:val="0"/>
      <w:divBdr>
        <w:top w:val="none" w:sz="0" w:space="0" w:color="auto"/>
        <w:left w:val="none" w:sz="0" w:space="0" w:color="auto"/>
        <w:bottom w:val="none" w:sz="0" w:space="0" w:color="auto"/>
        <w:right w:val="none" w:sz="0" w:space="0" w:color="auto"/>
      </w:divBdr>
    </w:div>
    <w:div w:id="102119371">
      <w:bodyDiv w:val="1"/>
      <w:marLeft w:val="0"/>
      <w:marRight w:val="0"/>
      <w:marTop w:val="0"/>
      <w:marBottom w:val="0"/>
      <w:divBdr>
        <w:top w:val="none" w:sz="0" w:space="0" w:color="auto"/>
        <w:left w:val="none" w:sz="0" w:space="0" w:color="auto"/>
        <w:bottom w:val="none" w:sz="0" w:space="0" w:color="auto"/>
        <w:right w:val="none" w:sz="0" w:space="0" w:color="auto"/>
      </w:divBdr>
    </w:div>
    <w:div w:id="104859289">
      <w:bodyDiv w:val="1"/>
      <w:marLeft w:val="0"/>
      <w:marRight w:val="0"/>
      <w:marTop w:val="0"/>
      <w:marBottom w:val="0"/>
      <w:divBdr>
        <w:top w:val="none" w:sz="0" w:space="0" w:color="auto"/>
        <w:left w:val="none" w:sz="0" w:space="0" w:color="auto"/>
        <w:bottom w:val="none" w:sz="0" w:space="0" w:color="auto"/>
        <w:right w:val="none" w:sz="0" w:space="0" w:color="auto"/>
      </w:divBdr>
    </w:div>
    <w:div w:id="108210149">
      <w:bodyDiv w:val="1"/>
      <w:marLeft w:val="0"/>
      <w:marRight w:val="0"/>
      <w:marTop w:val="0"/>
      <w:marBottom w:val="0"/>
      <w:divBdr>
        <w:top w:val="none" w:sz="0" w:space="0" w:color="auto"/>
        <w:left w:val="none" w:sz="0" w:space="0" w:color="auto"/>
        <w:bottom w:val="none" w:sz="0" w:space="0" w:color="auto"/>
        <w:right w:val="none" w:sz="0" w:space="0" w:color="auto"/>
      </w:divBdr>
    </w:div>
    <w:div w:id="116459435">
      <w:bodyDiv w:val="1"/>
      <w:marLeft w:val="0"/>
      <w:marRight w:val="0"/>
      <w:marTop w:val="0"/>
      <w:marBottom w:val="0"/>
      <w:divBdr>
        <w:top w:val="none" w:sz="0" w:space="0" w:color="auto"/>
        <w:left w:val="none" w:sz="0" w:space="0" w:color="auto"/>
        <w:bottom w:val="none" w:sz="0" w:space="0" w:color="auto"/>
        <w:right w:val="none" w:sz="0" w:space="0" w:color="auto"/>
      </w:divBdr>
    </w:div>
    <w:div w:id="121578532">
      <w:bodyDiv w:val="1"/>
      <w:marLeft w:val="0"/>
      <w:marRight w:val="0"/>
      <w:marTop w:val="0"/>
      <w:marBottom w:val="0"/>
      <w:divBdr>
        <w:top w:val="none" w:sz="0" w:space="0" w:color="auto"/>
        <w:left w:val="none" w:sz="0" w:space="0" w:color="auto"/>
        <w:bottom w:val="none" w:sz="0" w:space="0" w:color="auto"/>
        <w:right w:val="none" w:sz="0" w:space="0" w:color="auto"/>
      </w:divBdr>
    </w:div>
    <w:div w:id="123541782">
      <w:bodyDiv w:val="1"/>
      <w:marLeft w:val="0"/>
      <w:marRight w:val="0"/>
      <w:marTop w:val="0"/>
      <w:marBottom w:val="0"/>
      <w:divBdr>
        <w:top w:val="none" w:sz="0" w:space="0" w:color="auto"/>
        <w:left w:val="none" w:sz="0" w:space="0" w:color="auto"/>
        <w:bottom w:val="none" w:sz="0" w:space="0" w:color="auto"/>
        <w:right w:val="none" w:sz="0" w:space="0" w:color="auto"/>
      </w:divBdr>
    </w:div>
    <w:div w:id="127213224">
      <w:bodyDiv w:val="1"/>
      <w:marLeft w:val="0"/>
      <w:marRight w:val="0"/>
      <w:marTop w:val="0"/>
      <w:marBottom w:val="0"/>
      <w:divBdr>
        <w:top w:val="none" w:sz="0" w:space="0" w:color="auto"/>
        <w:left w:val="none" w:sz="0" w:space="0" w:color="auto"/>
        <w:bottom w:val="none" w:sz="0" w:space="0" w:color="auto"/>
        <w:right w:val="none" w:sz="0" w:space="0" w:color="auto"/>
      </w:divBdr>
    </w:div>
    <w:div w:id="127403914">
      <w:bodyDiv w:val="1"/>
      <w:marLeft w:val="0"/>
      <w:marRight w:val="0"/>
      <w:marTop w:val="0"/>
      <w:marBottom w:val="0"/>
      <w:divBdr>
        <w:top w:val="none" w:sz="0" w:space="0" w:color="auto"/>
        <w:left w:val="none" w:sz="0" w:space="0" w:color="auto"/>
        <w:bottom w:val="none" w:sz="0" w:space="0" w:color="auto"/>
        <w:right w:val="none" w:sz="0" w:space="0" w:color="auto"/>
      </w:divBdr>
    </w:div>
    <w:div w:id="131095717">
      <w:bodyDiv w:val="1"/>
      <w:marLeft w:val="0"/>
      <w:marRight w:val="0"/>
      <w:marTop w:val="0"/>
      <w:marBottom w:val="0"/>
      <w:divBdr>
        <w:top w:val="none" w:sz="0" w:space="0" w:color="auto"/>
        <w:left w:val="none" w:sz="0" w:space="0" w:color="auto"/>
        <w:bottom w:val="none" w:sz="0" w:space="0" w:color="auto"/>
        <w:right w:val="none" w:sz="0" w:space="0" w:color="auto"/>
      </w:divBdr>
    </w:div>
    <w:div w:id="133067749">
      <w:bodyDiv w:val="1"/>
      <w:marLeft w:val="0"/>
      <w:marRight w:val="0"/>
      <w:marTop w:val="0"/>
      <w:marBottom w:val="0"/>
      <w:divBdr>
        <w:top w:val="none" w:sz="0" w:space="0" w:color="auto"/>
        <w:left w:val="none" w:sz="0" w:space="0" w:color="auto"/>
        <w:bottom w:val="none" w:sz="0" w:space="0" w:color="auto"/>
        <w:right w:val="none" w:sz="0" w:space="0" w:color="auto"/>
      </w:divBdr>
    </w:div>
    <w:div w:id="134763259">
      <w:bodyDiv w:val="1"/>
      <w:marLeft w:val="0"/>
      <w:marRight w:val="0"/>
      <w:marTop w:val="0"/>
      <w:marBottom w:val="0"/>
      <w:divBdr>
        <w:top w:val="none" w:sz="0" w:space="0" w:color="auto"/>
        <w:left w:val="none" w:sz="0" w:space="0" w:color="auto"/>
        <w:bottom w:val="none" w:sz="0" w:space="0" w:color="auto"/>
        <w:right w:val="none" w:sz="0" w:space="0" w:color="auto"/>
      </w:divBdr>
      <w:divsChild>
        <w:div w:id="170611104">
          <w:marLeft w:val="0"/>
          <w:marRight w:val="83"/>
          <w:marTop w:val="0"/>
          <w:marBottom w:val="0"/>
          <w:divBdr>
            <w:top w:val="none" w:sz="0" w:space="0" w:color="auto"/>
            <w:left w:val="none" w:sz="0" w:space="0" w:color="auto"/>
            <w:bottom w:val="none" w:sz="0" w:space="0" w:color="auto"/>
            <w:right w:val="none" w:sz="0" w:space="0" w:color="auto"/>
          </w:divBdr>
        </w:div>
        <w:div w:id="1727146921">
          <w:marLeft w:val="0"/>
          <w:marRight w:val="0"/>
          <w:marTop w:val="0"/>
          <w:marBottom w:val="0"/>
          <w:divBdr>
            <w:top w:val="none" w:sz="0" w:space="0" w:color="auto"/>
            <w:left w:val="none" w:sz="0" w:space="0" w:color="auto"/>
            <w:bottom w:val="none" w:sz="0" w:space="0" w:color="auto"/>
            <w:right w:val="none" w:sz="0" w:space="0" w:color="auto"/>
          </w:divBdr>
          <w:divsChild>
            <w:div w:id="1770270629">
              <w:marLeft w:val="0"/>
              <w:marRight w:val="0"/>
              <w:marTop w:val="0"/>
              <w:marBottom w:val="0"/>
              <w:divBdr>
                <w:top w:val="none" w:sz="0" w:space="0" w:color="auto"/>
                <w:left w:val="none" w:sz="0" w:space="0" w:color="auto"/>
                <w:bottom w:val="none" w:sz="0" w:space="0" w:color="auto"/>
                <w:right w:val="none" w:sz="0" w:space="0" w:color="auto"/>
              </w:divBdr>
              <w:divsChild>
                <w:div w:id="1938443985">
                  <w:marLeft w:val="0"/>
                  <w:marRight w:val="0"/>
                  <w:marTop w:val="0"/>
                  <w:marBottom w:val="0"/>
                  <w:divBdr>
                    <w:top w:val="none" w:sz="0" w:space="0" w:color="auto"/>
                    <w:left w:val="none" w:sz="0" w:space="0" w:color="auto"/>
                    <w:bottom w:val="none" w:sz="0" w:space="0" w:color="auto"/>
                    <w:right w:val="none" w:sz="0" w:space="0" w:color="auto"/>
                  </w:divBdr>
                  <w:divsChild>
                    <w:div w:id="187302444">
                      <w:marLeft w:val="0"/>
                      <w:marRight w:val="0"/>
                      <w:marTop w:val="0"/>
                      <w:marBottom w:val="0"/>
                      <w:divBdr>
                        <w:top w:val="none" w:sz="0" w:space="0" w:color="auto"/>
                        <w:left w:val="none" w:sz="0" w:space="0" w:color="auto"/>
                        <w:bottom w:val="none" w:sz="0" w:space="0" w:color="auto"/>
                        <w:right w:val="none" w:sz="0" w:space="0" w:color="auto"/>
                      </w:divBdr>
                    </w:div>
                    <w:div w:id="1297759539">
                      <w:marLeft w:val="0"/>
                      <w:marRight w:val="0"/>
                      <w:marTop w:val="0"/>
                      <w:marBottom w:val="0"/>
                      <w:divBdr>
                        <w:top w:val="none" w:sz="0" w:space="0" w:color="auto"/>
                        <w:left w:val="none" w:sz="0" w:space="0" w:color="auto"/>
                        <w:bottom w:val="none" w:sz="0" w:space="0" w:color="auto"/>
                        <w:right w:val="none" w:sz="0" w:space="0" w:color="auto"/>
                      </w:divBdr>
                    </w:div>
                  </w:divsChild>
                </w:div>
                <w:div w:id="1221552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269101">
      <w:bodyDiv w:val="1"/>
      <w:marLeft w:val="0"/>
      <w:marRight w:val="0"/>
      <w:marTop w:val="0"/>
      <w:marBottom w:val="0"/>
      <w:divBdr>
        <w:top w:val="none" w:sz="0" w:space="0" w:color="auto"/>
        <w:left w:val="none" w:sz="0" w:space="0" w:color="auto"/>
        <w:bottom w:val="none" w:sz="0" w:space="0" w:color="auto"/>
        <w:right w:val="none" w:sz="0" w:space="0" w:color="auto"/>
      </w:divBdr>
    </w:div>
    <w:div w:id="137772914">
      <w:bodyDiv w:val="1"/>
      <w:marLeft w:val="0"/>
      <w:marRight w:val="0"/>
      <w:marTop w:val="0"/>
      <w:marBottom w:val="0"/>
      <w:divBdr>
        <w:top w:val="none" w:sz="0" w:space="0" w:color="auto"/>
        <w:left w:val="none" w:sz="0" w:space="0" w:color="auto"/>
        <w:bottom w:val="none" w:sz="0" w:space="0" w:color="auto"/>
        <w:right w:val="none" w:sz="0" w:space="0" w:color="auto"/>
      </w:divBdr>
    </w:div>
    <w:div w:id="142477579">
      <w:bodyDiv w:val="1"/>
      <w:marLeft w:val="0"/>
      <w:marRight w:val="0"/>
      <w:marTop w:val="0"/>
      <w:marBottom w:val="0"/>
      <w:divBdr>
        <w:top w:val="none" w:sz="0" w:space="0" w:color="auto"/>
        <w:left w:val="none" w:sz="0" w:space="0" w:color="auto"/>
        <w:bottom w:val="none" w:sz="0" w:space="0" w:color="auto"/>
        <w:right w:val="none" w:sz="0" w:space="0" w:color="auto"/>
      </w:divBdr>
    </w:div>
    <w:div w:id="142619773">
      <w:bodyDiv w:val="1"/>
      <w:marLeft w:val="0"/>
      <w:marRight w:val="0"/>
      <w:marTop w:val="0"/>
      <w:marBottom w:val="0"/>
      <w:divBdr>
        <w:top w:val="none" w:sz="0" w:space="0" w:color="auto"/>
        <w:left w:val="none" w:sz="0" w:space="0" w:color="auto"/>
        <w:bottom w:val="none" w:sz="0" w:space="0" w:color="auto"/>
        <w:right w:val="none" w:sz="0" w:space="0" w:color="auto"/>
      </w:divBdr>
    </w:div>
    <w:div w:id="145169973">
      <w:bodyDiv w:val="1"/>
      <w:marLeft w:val="0"/>
      <w:marRight w:val="0"/>
      <w:marTop w:val="0"/>
      <w:marBottom w:val="0"/>
      <w:divBdr>
        <w:top w:val="none" w:sz="0" w:space="0" w:color="auto"/>
        <w:left w:val="none" w:sz="0" w:space="0" w:color="auto"/>
        <w:bottom w:val="none" w:sz="0" w:space="0" w:color="auto"/>
        <w:right w:val="none" w:sz="0" w:space="0" w:color="auto"/>
      </w:divBdr>
    </w:div>
    <w:div w:id="145899346">
      <w:bodyDiv w:val="1"/>
      <w:marLeft w:val="0"/>
      <w:marRight w:val="0"/>
      <w:marTop w:val="0"/>
      <w:marBottom w:val="0"/>
      <w:divBdr>
        <w:top w:val="none" w:sz="0" w:space="0" w:color="auto"/>
        <w:left w:val="none" w:sz="0" w:space="0" w:color="auto"/>
        <w:bottom w:val="none" w:sz="0" w:space="0" w:color="auto"/>
        <w:right w:val="none" w:sz="0" w:space="0" w:color="auto"/>
      </w:divBdr>
    </w:div>
    <w:div w:id="146362950">
      <w:bodyDiv w:val="1"/>
      <w:marLeft w:val="0"/>
      <w:marRight w:val="0"/>
      <w:marTop w:val="0"/>
      <w:marBottom w:val="0"/>
      <w:divBdr>
        <w:top w:val="none" w:sz="0" w:space="0" w:color="auto"/>
        <w:left w:val="none" w:sz="0" w:space="0" w:color="auto"/>
        <w:bottom w:val="none" w:sz="0" w:space="0" w:color="auto"/>
        <w:right w:val="none" w:sz="0" w:space="0" w:color="auto"/>
      </w:divBdr>
    </w:div>
    <w:div w:id="152071680">
      <w:bodyDiv w:val="1"/>
      <w:marLeft w:val="0"/>
      <w:marRight w:val="0"/>
      <w:marTop w:val="0"/>
      <w:marBottom w:val="0"/>
      <w:divBdr>
        <w:top w:val="none" w:sz="0" w:space="0" w:color="auto"/>
        <w:left w:val="none" w:sz="0" w:space="0" w:color="auto"/>
        <w:bottom w:val="none" w:sz="0" w:space="0" w:color="auto"/>
        <w:right w:val="none" w:sz="0" w:space="0" w:color="auto"/>
      </w:divBdr>
    </w:div>
    <w:div w:id="153306833">
      <w:bodyDiv w:val="1"/>
      <w:marLeft w:val="0"/>
      <w:marRight w:val="0"/>
      <w:marTop w:val="0"/>
      <w:marBottom w:val="0"/>
      <w:divBdr>
        <w:top w:val="none" w:sz="0" w:space="0" w:color="auto"/>
        <w:left w:val="none" w:sz="0" w:space="0" w:color="auto"/>
        <w:bottom w:val="none" w:sz="0" w:space="0" w:color="auto"/>
        <w:right w:val="none" w:sz="0" w:space="0" w:color="auto"/>
      </w:divBdr>
    </w:div>
    <w:div w:id="159851390">
      <w:bodyDiv w:val="1"/>
      <w:marLeft w:val="0"/>
      <w:marRight w:val="0"/>
      <w:marTop w:val="0"/>
      <w:marBottom w:val="0"/>
      <w:divBdr>
        <w:top w:val="none" w:sz="0" w:space="0" w:color="auto"/>
        <w:left w:val="none" w:sz="0" w:space="0" w:color="auto"/>
        <w:bottom w:val="none" w:sz="0" w:space="0" w:color="auto"/>
        <w:right w:val="none" w:sz="0" w:space="0" w:color="auto"/>
      </w:divBdr>
    </w:div>
    <w:div w:id="160778333">
      <w:bodyDiv w:val="1"/>
      <w:marLeft w:val="0"/>
      <w:marRight w:val="0"/>
      <w:marTop w:val="0"/>
      <w:marBottom w:val="0"/>
      <w:divBdr>
        <w:top w:val="none" w:sz="0" w:space="0" w:color="auto"/>
        <w:left w:val="none" w:sz="0" w:space="0" w:color="auto"/>
        <w:bottom w:val="none" w:sz="0" w:space="0" w:color="auto"/>
        <w:right w:val="none" w:sz="0" w:space="0" w:color="auto"/>
      </w:divBdr>
    </w:div>
    <w:div w:id="163521453">
      <w:bodyDiv w:val="1"/>
      <w:marLeft w:val="0"/>
      <w:marRight w:val="0"/>
      <w:marTop w:val="0"/>
      <w:marBottom w:val="0"/>
      <w:divBdr>
        <w:top w:val="none" w:sz="0" w:space="0" w:color="auto"/>
        <w:left w:val="none" w:sz="0" w:space="0" w:color="auto"/>
        <w:bottom w:val="none" w:sz="0" w:space="0" w:color="auto"/>
        <w:right w:val="none" w:sz="0" w:space="0" w:color="auto"/>
      </w:divBdr>
    </w:div>
    <w:div w:id="166291667">
      <w:bodyDiv w:val="1"/>
      <w:marLeft w:val="0"/>
      <w:marRight w:val="0"/>
      <w:marTop w:val="0"/>
      <w:marBottom w:val="0"/>
      <w:divBdr>
        <w:top w:val="none" w:sz="0" w:space="0" w:color="auto"/>
        <w:left w:val="none" w:sz="0" w:space="0" w:color="auto"/>
        <w:bottom w:val="none" w:sz="0" w:space="0" w:color="auto"/>
        <w:right w:val="none" w:sz="0" w:space="0" w:color="auto"/>
      </w:divBdr>
    </w:div>
    <w:div w:id="173305058">
      <w:bodyDiv w:val="1"/>
      <w:marLeft w:val="0"/>
      <w:marRight w:val="0"/>
      <w:marTop w:val="0"/>
      <w:marBottom w:val="0"/>
      <w:divBdr>
        <w:top w:val="none" w:sz="0" w:space="0" w:color="auto"/>
        <w:left w:val="none" w:sz="0" w:space="0" w:color="auto"/>
        <w:bottom w:val="none" w:sz="0" w:space="0" w:color="auto"/>
        <w:right w:val="none" w:sz="0" w:space="0" w:color="auto"/>
      </w:divBdr>
    </w:div>
    <w:div w:id="179665496">
      <w:bodyDiv w:val="1"/>
      <w:marLeft w:val="0"/>
      <w:marRight w:val="0"/>
      <w:marTop w:val="0"/>
      <w:marBottom w:val="0"/>
      <w:divBdr>
        <w:top w:val="none" w:sz="0" w:space="0" w:color="auto"/>
        <w:left w:val="none" w:sz="0" w:space="0" w:color="auto"/>
        <w:bottom w:val="none" w:sz="0" w:space="0" w:color="auto"/>
        <w:right w:val="none" w:sz="0" w:space="0" w:color="auto"/>
      </w:divBdr>
    </w:div>
    <w:div w:id="184055054">
      <w:bodyDiv w:val="1"/>
      <w:marLeft w:val="0"/>
      <w:marRight w:val="0"/>
      <w:marTop w:val="0"/>
      <w:marBottom w:val="0"/>
      <w:divBdr>
        <w:top w:val="none" w:sz="0" w:space="0" w:color="auto"/>
        <w:left w:val="none" w:sz="0" w:space="0" w:color="auto"/>
        <w:bottom w:val="none" w:sz="0" w:space="0" w:color="auto"/>
        <w:right w:val="none" w:sz="0" w:space="0" w:color="auto"/>
      </w:divBdr>
    </w:div>
    <w:div w:id="185217778">
      <w:bodyDiv w:val="1"/>
      <w:marLeft w:val="0"/>
      <w:marRight w:val="0"/>
      <w:marTop w:val="0"/>
      <w:marBottom w:val="0"/>
      <w:divBdr>
        <w:top w:val="none" w:sz="0" w:space="0" w:color="auto"/>
        <w:left w:val="none" w:sz="0" w:space="0" w:color="auto"/>
        <w:bottom w:val="none" w:sz="0" w:space="0" w:color="auto"/>
        <w:right w:val="none" w:sz="0" w:space="0" w:color="auto"/>
      </w:divBdr>
    </w:div>
    <w:div w:id="188374425">
      <w:bodyDiv w:val="1"/>
      <w:marLeft w:val="0"/>
      <w:marRight w:val="0"/>
      <w:marTop w:val="0"/>
      <w:marBottom w:val="0"/>
      <w:divBdr>
        <w:top w:val="none" w:sz="0" w:space="0" w:color="auto"/>
        <w:left w:val="none" w:sz="0" w:space="0" w:color="auto"/>
        <w:bottom w:val="none" w:sz="0" w:space="0" w:color="auto"/>
        <w:right w:val="none" w:sz="0" w:space="0" w:color="auto"/>
      </w:divBdr>
    </w:div>
    <w:div w:id="189295252">
      <w:bodyDiv w:val="1"/>
      <w:marLeft w:val="0"/>
      <w:marRight w:val="0"/>
      <w:marTop w:val="0"/>
      <w:marBottom w:val="0"/>
      <w:divBdr>
        <w:top w:val="none" w:sz="0" w:space="0" w:color="auto"/>
        <w:left w:val="none" w:sz="0" w:space="0" w:color="auto"/>
        <w:bottom w:val="none" w:sz="0" w:space="0" w:color="auto"/>
        <w:right w:val="none" w:sz="0" w:space="0" w:color="auto"/>
      </w:divBdr>
    </w:div>
    <w:div w:id="191503146">
      <w:bodyDiv w:val="1"/>
      <w:marLeft w:val="0"/>
      <w:marRight w:val="0"/>
      <w:marTop w:val="0"/>
      <w:marBottom w:val="0"/>
      <w:divBdr>
        <w:top w:val="none" w:sz="0" w:space="0" w:color="auto"/>
        <w:left w:val="none" w:sz="0" w:space="0" w:color="auto"/>
        <w:bottom w:val="none" w:sz="0" w:space="0" w:color="auto"/>
        <w:right w:val="none" w:sz="0" w:space="0" w:color="auto"/>
      </w:divBdr>
    </w:div>
    <w:div w:id="193346049">
      <w:bodyDiv w:val="1"/>
      <w:marLeft w:val="0"/>
      <w:marRight w:val="0"/>
      <w:marTop w:val="0"/>
      <w:marBottom w:val="0"/>
      <w:divBdr>
        <w:top w:val="none" w:sz="0" w:space="0" w:color="auto"/>
        <w:left w:val="none" w:sz="0" w:space="0" w:color="auto"/>
        <w:bottom w:val="none" w:sz="0" w:space="0" w:color="auto"/>
        <w:right w:val="none" w:sz="0" w:space="0" w:color="auto"/>
      </w:divBdr>
    </w:div>
    <w:div w:id="193882987">
      <w:bodyDiv w:val="1"/>
      <w:marLeft w:val="0"/>
      <w:marRight w:val="0"/>
      <w:marTop w:val="0"/>
      <w:marBottom w:val="0"/>
      <w:divBdr>
        <w:top w:val="none" w:sz="0" w:space="0" w:color="auto"/>
        <w:left w:val="none" w:sz="0" w:space="0" w:color="auto"/>
        <w:bottom w:val="none" w:sz="0" w:space="0" w:color="auto"/>
        <w:right w:val="none" w:sz="0" w:space="0" w:color="auto"/>
      </w:divBdr>
      <w:divsChild>
        <w:div w:id="1632318501">
          <w:marLeft w:val="0"/>
          <w:marRight w:val="0"/>
          <w:marTop w:val="0"/>
          <w:marBottom w:val="0"/>
          <w:divBdr>
            <w:top w:val="none" w:sz="0" w:space="0" w:color="auto"/>
            <w:left w:val="none" w:sz="0" w:space="0" w:color="auto"/>
            <w:bottom w:val="none" w:sz="0" w:space="0" w:color="auto"/>
            <w:right w:val="none" w:sz="0" w:space="0" w:color="auto"/>
          </w:divBdr>
        </w:div>
      </w:divsChild>
    </w:div>
    <w:div w:id="199828448">
      <w:bodyDiv w:val="1"/>
      <w:marLeft w:val="0"/>
      <w:marRight w:val="0"/>
      <w:marTop w:val="0"/>
      <w:marBottom w:val="0"/>
      <w:divBdr>
        <w:top w:val="none" w:sz="0" w:space="0" w:color="auto"/>
        <w:left w:val="none" w:sz="0" w:space="0" w:color="auto"/>
        <w:bottom w:val="none" w:sz="0" w:space="0" w:color="auto"/>
        <w:right w:val="none" w:sz="0" w:space="0" w:color="auto"/>
      </w:divBdr>
    </w:div>
    <w:div w:id="201405758">
      <w:bodyDiv w:val="1"/>
      <w:marLeft w:val="0"/>
      <w:marRight w:val="0"/>
      <w:marTop w:val="0"/>
      <w:marBottom w:val="0"/>
      <w:divBdr>
        <w:top w:val="none" w:sz="0" w:space="0" w:color="auto"/>
        <w:left w:val="none" w:sz="0" w:space="0" w:color="auto"/>
        <w:bottom w:val="none" w:sz="0" w:space="0" w:color="auto"/>
        <w:right w:val="none" w:sz="0" w:space="0" w:color="auto"/>
      </w:divBdr>
    </w:div>
    <w:div w:id="215050540">
      <w:bodyDiv w:val="1"/>
      <w:marLeft w:val="0"/>
      <w:marRight w:val="0"/>
      <w:marTop w:val="0"/>
      <w:marBottom w:val="0"/>
      <w:divBdr>
        <w:top w:val="none" w:sz="0" w:space="0" w:color="auto"/>
        <w:left w:val="none" w:sz="0" w:space="0" w:color="auto"/>
        <w:bottom w:val="none" w:sz="0" w:space="0" w:color="auto"/>
        <w:right w:val="none" w:sz="0" w:space="0" w:color="auto"/>
      </w:divBdr>
    </w:div>
    <w:div w:id="217472511">
      <w:bodyDiv w:val="1"/>
      <w:marLeft w:val="0"/>
      <w:marRight w:val="0"/>
      <w:marTop w:val="0"/>
      <w:marBottom w:val="0"/>
      <w:divBdr>
        <w:top w:val="none" w:sz="0" w:space="0" w:color="auto"/>
        <w:left w:val="none" w:sz="0" w:space="0" w:color="auto"/>
        <w:bottom w:val="none" w:sz="0" w:space="0" w:color="auto"/>
        <w:right w:val="none" w:sz="0" w:space="0" w:color="auto"/>
      </w:divBdr>
    </w:div>
    <w:div w:id="220485982">
      <w:bodyDiv w:val="1"/>
      <w:marLeft w:val="0"/>
      <w:marRight w:val="0"/>
      <w:marTop w:val="0"/>
      <w:marBottom w:val="0"/>
      <w:divBdr>
        <w:top w:val="none" w:sz="0" w:space="0" w:color="auto"/>
        <w:left w:val="none" w:sz="0" w:space="0" w:color="auto"/>
        <w:bottom w:val="none" w:sz="0" w:space="0" w:color="auto"/>
        <w:right w:val="none" w:sz="0" w:space="0" w:color="auto"/>
      </w:divBdr>
    </w:div>
    <w:div w:id="220792788">
      <w:bodyDiv w:val="1"/>
      <w:marLeft w:val="0"/>
      <w:marRight w:val="0"/>
      <w:marTop w:val="0"/>
      <w:marBottom w:val="0"/>
      <w:divBdr>
        <w:top w:val="none" w:sz="0" w:space="0" w:color="auto"/>
        <w:left w:val="none" w:sz="0" w:space="0" w:color="auto"/>
        <w:bottom w:val="none" w:sz="0" w:space="0" w:color="auto"/>
        <w:right w:val="none" w:sz="0" w:space="0" w:color="auto"/>
      </w:divBdr>
    </w:div>
    <w:div w:id="224611064">
      <w:bodyDiv w:val="1"/>
      <w:marLeft w:val="0"/>
      <w:marRight w:val="0"/>
      <w:marTop w:val="0"/>
      <w:marBottom w:val="0"/>
      <w:divBdr>
        <w:top w:val="none" w:sz="0" w:space="0" w:color="auto"/>
        <w:left w:val="none" w:sz="0" w:space="0" w:color="auto"/>
        <w:bottom w:val="none" w:sz="0" w:space="0" w:color="auto"/>
        <w:right w:val="none" w:sz="0" w:space="0" w:color="auto"/>
      </w:divBdr>
    </w:div>
    <w:div w:id="231279912">
      <w:bodyDiv w:val="1"/>
      <w:marLeft w:val="0"/>
      <w:marRight w:val="0"/>
      <w:marTop w:val="0"/>
      <w:marBottom w:val="0"/>
      <w:divBdr>
        <w:top w:val="none" w:sz="0" w:space="0" w:color="auto"/>
        <w:left w:val="none" w:sz="0" w:space="0" w:color="auto"/>
        <w:bottom w:val="none" w:sz="0" w:space="0" w:color="auto"/>
        <w:right w:val="none" w:sz="0" w:space="0" w:color="auto"/>
      </w:divBdr>
    </w:div>
    <w:div w:id="231815199">
      <w:bodyDiv w:val="1"/>
      <w:marLeft w:val="0"/>
      <w:marRight w:val="0"/>
      <w:marTop w:val="0"/>
      <w:marBottom w:val="0"/>
      <w:divBdr>
        <w:top w:val="none" w:sz="0" w:space="0" w:color="auto"/>
        <w:left w:val="none" w:sz="0" w:space="0" w:color="auto"/>
        <w:bottom w:val="none" w:sz="0" w:space="0" w:color="auto"/>
        <w:right w:val="none" w:sz="0" w:space="0" w:color="auto"/>
      </w:divBdr>
    </w:div>
    <w:div w:id="233441735">
      <w:bodyDiv w:val="1"/>
      <w:marLeft w:val="0"/>
      <w:marRight w:val="0"/>
      <w:marTop w:val="0"/>
      <w:marBottom w:val="0"/>
      <w:divBdr>
        <w:top w:val="none" w:sz="0" w:space="0" w:color="auto"/>
        <w:left w:val="none" w:sz="0" w:space="0" w:color="auto"/>
        <w:bottom w:val="none" w:sz="0" w:space="0" w:color="auto"/>
        <w:right w:val="none" w:sz="0" w:space="0" w:color="auto"/>
      </w:divBdr>
    </w:div>
    <w:div w:id="235017036">
      <w:bodyDiv w:val="1"/>
      <w:marLeft w:val="0"/>
      <w:marRight w:val="0"/>
      <w:marTop w:val="0"/>
      <w:marBottom w:val="0"/>
      <w:divBdr>
        <w:top w:val="none" w:sz="0" w:space="0" w:color="auto"/>
        <w:left w:val="none" w:sz="0" w:space="0" w:color="auto"/>
        <w:bottom w:val="none" w:sz="0" w:space="0" w:color="auto"/>
        <w:right w:val="none" w:sz="0" w:space="0" w:color="auto"/>
      </w:divBdr>
    </w:div>
    <w:div w:id="235864833">
      <w:bodyDiv w:val="1"/>
      <w:marLeft w:val="0"/>
      <w:marRight w:val="0"/>
      <w:marTop w:val="0"/>
      <w:marBottom w:val="0"/>
      <w:divBdr>
        <w:top w:val="none" w:sz="0" w:space="0" w:color="auto"/>
        <w:left w:val="none" w:sz="0" w:space="0" w:color="auto"/>
        <w:bottom w:val="none" w:sz="0" w:space="0" w:color="auto"/>
        <w:right w:val="none" w:sz="0" w:space="0" w:color="auto"/>
      </w:divBdr>
    </w:div>
    <w:div w:id="238373744">
      <w:bodyDiv w:val="1"/>
      <w:marLeft w:val="0"/>
      <w:marRight w:val="0"/>
      <w:marTop w:val="0"/>
      <w:marBottom w:val="0"/>
      <w:divBdr>
        <w:top w:val="none" w:sz="0" w:space="0" w:color="auto"/>
        <w:left w:val="none" w:sz="0" w:space="0" w:color="auto"/>
        <w:bottom w:val="none" w:sz="0" w:space="0" w:color="auto"/>
        <w:right w:val="none" w:sz="0" w:space="0" w:color="auto"/>
      </w:divBdr>
    </w:div>
    <w:div w:id="244808016">
      <w:bodyDiv w:val="1"/>
      <w:marLeft w:val="0"/>
      <w:marRight w:val="0"/>
      <w:marTop w:val="0"/>
      <w:marBottom w:val="0"/>
      <w:divBdr>
        <w:top w:val="none" w:sz="0" w:space="0" w:color="auto"/>
        <w:left w:val="none" w:sz="0" w:space="0" w:color="auto"/>
        <w:bottom w:val="none" w:sz="0" w:space="0" w:color="auto"/>
        <w:right w:val="none" w:sz="0" w:space="0" w:color="auto"/>
      </w:divBdr>
      <w:divsChild>
        <w:div w:id="1942032327">
          <w:marLeft w:val="0"/>
          <w:marRight w:val="0"/>
          <w:marTop w:val="0"/>
          <w:marBottom w:val="0"/>
          <w:divBdr>
            <w:top w:val="none" w:sz="0" w:space="0" w:color="auto"/>
            <w:left w:val="none" w:sz="0" w:space="0" w:color="auto"/>
            <w:bottom w:val="none" w:sz="0" w:space="0" w:color="auto"/>
            <w:right w:val="none" w:sz="0" w:space="0" w:color="auto"/>
          </w:divBdr>
        </w:div>
        <w:div w:id="1518231279">
          <w:marLeft w:val="0"/>
          <w:marRight w:val="0"/>
          <w:marTop w:val="0"/>
          <w:marBottom w:val="0"/>
          <w:divBdr>
            <w:top w:val="none" w:sz="0" w:space="0" w:color="auto"/>
            <w:left w:val="none" w:sz="0" w:space="0" w:color="auto"/>
            <w:bottom w:val="none" w:sz="0" w:space="0" w:color="auto"/>
            <w:right w:val="none" w:sz="0" w:space="0" w:color="auto"/>
          </w:divBdr>
          <w:divsChild>
            <w:div w:id="287704891">
              <w:marLeft w:val="0"/>
              <w:marRight w:val="0"/>
              <w:marTop w:val="0"/>
              <w:marBottom w:val="0"/>
              <w:divBdr>
                <w:top w:val="none" w:sz="0" w:space="0" w:color="auto"/>
                <w:left w:val="none" w:sz="0" w:space="0" w:color="auto"/>
                <w:bottom w:val="none" w:sz="0" w:space="0" w:color="auto"/>
                <w:right w:val="none" w:sz="0" w:space="0" w:color="auto"/>
              </w:divBdr>
              <w:divsChild>
                <w:div w:id="1626616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073735">
      <w:bodyDiv w:val="1"/>
      <w:marLeft w:val="0"/>
      <w:marRight w:val="0"/>
      <w:marTop w:val="0"/>
      <w:marBottom w:val="0"/>
      <w:divBdr>
        <w:top w:val="none" w:sz="0" w:space="0" w:color="auto"/>
        <w:left w:val="none" w:sz="0" w:space="0" w:color="auto"/>
        <w:bottom w:val="none" w:sz="0" w:space="0" w:color="auto"/>
        <w:right w:val="none" w:sz="0" w:space="0" w:color="auto"/>
      </w:divBdr>
    </w:div>
    <w:div w:id="266618758">
      <w:bodyDiv w:val="1"/>
      <w:marLeft w:val="0"/>
      <w:marRight w:val="0"/>
      <w:marTop w:val="0"/>
      <w:marBottom w:val="0"/>
      <w:divBdr>
        <w:top w:val="none" w:sz="0" w:space="0" w:color="auto"/>
        <w:left w:val="none" w:sz="0" w:space="0" w:color="auto"/>
        <w:bottom w:val="none" w:sz="0" w:space="0" w:color="auto"/>
        <w:right w:val="none" w:sz="0" w:space="0" w:color="auto"/>
      </w:divBdr>
    </w:div>
    <w:div w:id="271980141">
      <w:bodyDiv w:val="1"/>
      <w:marLeft w:val="0"/>
      <w:marRight w:val="0"/>
      <w:marTop w:val="0"/>
      <w:marBottom w:val="0"/>
      <w:divBdr>
        <w:top w:val="none" w:sz="0" w:space="0" w:color="auto"/>
        <w:left w:val="none" w:sz="0" w:space="0" w:color="auto"/>
        <w:bottom w:val="none" w:sz="0" w:space="0" w:color="auto"/>
        <w:right w:val="none" w:sz="0" w:space="0" w:color="auto"/>
      </w:divBdr>
    </w:div>
    <w:div w:id="274681859">
      <w:bodyDiv w:val="1"/>
      <w:marLeft w:val="0"/>
      <w:marRight w:val="0"/>
      <w:marTop w:val="0"/>
      <w:marBottom w:val="0"/>
      <w:divBdr>
        <w:top w:val="none" w:sz="0" w:space="0" w:color="auto"/>
        <w:left w:val="none" w:sz="0" w:space="0" w:color="auto"/>
        <w:bottom w:val="none" w:sz="0" w:space="0" w:color="auto"/>
        <w:right w:val="none" w:sz="0" w:space="0" w:color="auto"/>
      </w:divBdr>
    </w:div>
    <w:div w:id="284044050">
      <w:bodyDiv w:val="1"/>
      <w:marLeft w:val="0"/>
      <w:marRight w:val="0"/>
      <w:marTop w:val="0"/>
      <w:marBottom w:val="0"/>
      <w:divBdr>
        <w:top w:val="none" w:sz="0" w:space="0" w:color="auto"/>
        <w:left w:val="none" w:sz="0" w:space="0" w:color="auto"/>
        <w:bottom w:val="none" w:sz="0" w:space="0" w:color="auto"/>
        <w:right w:val="none" w:sz="0" w:space="0" w:color="auto"/>
      </w:divBdr>
    </w:div>
    <w:div w:id="287703869">
      <w:bodyDiv w:val="1"/>
      <w:marLeft w:val="0"/>
      <w:marRight w:val="0"/>
      <w:marTop w:val="0"/>
      <w:marBottom w:val="0"/>
      <w:divBdr>
        <w:top w:val="none" w:sz="0" w:space="0" w:color="auto"/>
        <w:left w:val="none" w:sz="0" w:space="0" w:color="auto"/>
        <w:bottom w:val="none" w:sz="0" w:space="0" w:color="auto"/>
        <w:right w:val="none" w:sz="0" w:space="0" w:color="auto"/>
      </w:divBdr>
    </w:div>
    <w:div w:id="289629793">
      <w:bodyDiv w:val="1"/>
      <w:marLeft w:val="0"/>
      <w:marRight w:val="0"/>
      <w:marTop w:val="0"/>
      <w:marBottom w:val="0"/>
      <w:divBdr>
        <w:top w:val="none" w:sz="0" w:space="0" w:color="auto"/>
        <w:left w:val="none" w:sz="0" w:space="0" w:color="auto"/>
        <w:bottom w:val="none" w:sz="0" w:space="0" w:color="auto"/>
        <w:right w:val="none" w:sz="0" w:space="0" w:color="auto"/>
      </w:divBdr>
      <w:divsChild>
        <w:div w:id="969170244">
          <w:marLeft w:val="0"/>
          <w:marRight w:val="0"/>
          <w:marTop w:val="0"/>
          <w:marBottom w:val="0"/>
          <w:divBdr>
            <w:top w:val="none" w:sz="0" w:space="0" w:color="auto"/>
            <w:left w:val="none" w:sz="0" w:space="0" w:color="auto"/>
            <w:bottom w:val="none" w:sz="0" w:space="0" w:color="auto"/>
            <w:right w:val="none" w:sz="0" w:space="0" w:color="auto"/>
          </w:divBdr>
        </w:div>
        <w:div w:id="1121610744">
          <w:marLeft w:val="0"/>
          <w:marRight w:val="0"/>
          <w:marTop w:val="0"/>
          <w:marBottom w:val="0"/>
          <w:divBdr>
            <w:top w:val="none" w:sz="0" w:space="0" w:color="auto"/>
            <w:left w:val="none" w:sz="0" w:space="0" w:color="auto"/>
            <w:bottom w:val="none" w:sz="0" w:space="0" w:color="auto"/>
            <w:right w:val="none" w:sz="0" w:space="0" w:color="auto"/>
          </w:divBdr>
        </w:div>
        <w:div w:id="1479030387">
          <w:marLeft w:val="0"/>
          <w:marRight w:val="0"/>
          <w:marTop w:val="0"/>
          <w:marBottom w:val="0"/>
          <w:divBdr>
            <w:top w:val="none" w:sz="0" w:space="0" w:color="auto"/>
            <w:left w:val="none" w:sz="0" w:space="0" w:color="auto"/>
            <w:bottom w:val="none" w:sz="0" w:space="0" w:color="auto"/>
            <w:right w:val="none" w:sz="0" w:space="0" w:color="auto"/>
          </w:divBdr>
        </w:div>
        <w:div w:id="1881163479">
          <w:marLeft w:val="0"/>
          <w:marRight w:val="0"/>
          <w:marTop w:val="0"/>
          <w:marBottom w:val="0"/>
          <w:divBdr>
            <w:top w:val="none" w:sz="0" w:space="0" w:color="auto"/>
            <w:left w:val="none" w:sz="0" w:space="0" w:color="auto"/>
            <w:bottom w:val="none" w:sz="0" w:space="0" w:color="auto"/>
            <w:right w:val="none" w:sz="0" w:space="0" w:color="auto"/>
          </w:divBdr>
        </w:div>
      </w:divsChild>
    </w:div>
    <w:div w:id="292558560">
      <w:bodyDiv w:val="1"/>
      <w:marLeft w:val="0"/>
      <w:marRight w:val="0"/>
      <w:marTop w:val="0"/>
      <w:marBottom w:val="0"/>
      <w:divBdr>
        <w:top w:val="none" w:sz="0" w:space="0" w:color="auto"/>
        <w:left w:val="none" w:sz="0" w:space="0" w:color="auto"/>
        <w:bottom w:val="none" w:sz="0" w:space="0" w:color="auto"/>
        <w:right w:val="none" w:sz="0" w:space="0" w:color="auto"/>
      </w:divBdr>
      <w:divsChild>
        <w:div w:id="1014504050">
          <w:marLeft w:val="0"/>
          <w:marRight w:val="0"/>
          <w:marTop w:val="15"/>
          <w:marBottom w:val="0"/>
          <w:divBdr>
            <w:top w:val="none" w:sz="0" w:space="0" w:color="auto"/>
            <w:left w:val="none" w:sz="0" w:space="0" w:color="auto"/>
            <w:bottom w:val="none" w:sz="0" w:space="0" w:color="auto"/>
            <w:right w:val="none" w:sz="0" w:space="0" w:color="auto"/>
          </w:divBdr>
          <w:divsChild>
            <w:div w:id="832337499">
              <w:marLeft w:val="0"/>
              <w:marRight w:val="0"/>
              <w:marTop w:val="0"/>
              <w:marBottom w:val="0"/>
              <w:divBdr>
                <w:top w:val="none" w:sz="0" w:space="0" w:color="auto"/>
                <w:left w:val="none" w:sz="0" w:space="0" w:color="auto"/>
                <w:bottom w:val="none" w:sz="0" w:space="0" w:color="auto"/>
                <w:right w:val="none" w:sz="0" w:space="0" w:color="auto"/>
              </w:divBdr>
              <w:divsChild>
                <w:div w:id="142934389">
                  <w:marLeft w:val="0"/>
                  <w:marRight w:val="0"/>
                  <w:marTop w:val="0"/>
                  <w:marBottom w:val="0"/>
                  <w:divBdr>
                    <w:top w:val="none" w:sz="0" w:space="0" w:color="auto"/>
                    <w:left w:val="none" w:sz="0" w:space="0" w:color="auto"/>
                    <w:bottom w:val="none" w:sz="0" w:space="0" w:color="auto"/>
                    <w:right w:val="none" w:sz="0" w:space="0" w:color="auto"/>
                  </w:divBdr>
                </w:div>
                <w:div w:id="1651442000">
                  <w:marLeft w:val="0"/>
                  <w:marRight w:val="0"/>
                  <w:marTop w:val="0"/>
                  <w:marBottom w:val="0"/>
                  <w:divBdr>
                    <w:top w:val="none" w:sz="0" w:space="0" w:color="auto"/>
                    <w:left w:val="none" w:sz="0" w:space="0" w:color="auto"/>
                    <w:bottom w:val="none" w:sz="0" w:space="0" w:color="auto"/>
                    <w:right w:val="none" w:sz="0" w:space="0" w:color="auto"/>
                  </w:divBdr>
                </w:div>
                <w:div w:id="1965385126">
                  <w:marLeft w:val="0"/>
                  <w:marRight w:val="0"/>
                  <w:marTop w:val="0"/>
                  <w:marBottom w:val="0"/>
                  <w:divBdr>
                    <w:top w:val="none" w:sz="0" w:space="0" w:color="auto"/>
                    <w:left w:val="none" w:sz="0" w:space="0" w:color="auto"/>
                    <w:bottom w:val="none" w:sz="0" w:space="0" w:color="auto"/>
                    <w:right w:val="none" w:sz="0" w:space="0" w:color="auto"/>
                  </w:divBdr>
                </w:div>
                <w:div w:id="1232228302">
                  <w:marLeft w:val="0"/>
                  <w:marRight w:val="0"/>
                  <w:marTop w:val="0"/>
                  <w:marBottom w:val="0"/>
                  <w:divBdr>
                    <w:top w:val="none" w:sz="0" w:space="0" w:color="auto"/>
                    <w:left w:val="none" w:sz="0" w:space="0" w:color="auto"/>
                    <w:bottom w:val="none" w:sz="0" w:space="0" w:color="auto"/>
                    <w:right w:val="none" w:sz="0" w:space="0" w:color="auto"/>
                  </w:divBdr>
                </w:div>
                <w:div w:id="875774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604049">
          <w:marLeft w:val="0"/>
          <w:marRight w:val="0"/>
          <w:marTop w:val="15"/>
          <w:marBottom w:val="0"/>
          <w:divBdr>
            <w:top w:val="none" w:sz="0" w:space="0" w:color="auto"/>
            <w:left w:val="none" w:sz="0" w:space="0" w:color="auto"/>
            <w:bottom w:val="none" w:sz="0" w:space="0" w:color="auto"/>
            <w:right w:val="none" w:sz="0" w:space="0" w:color="auto"/>
          </w:divBdr>
          <w:divsChild>
            <w:div w:id="2140368810">
              <w:marLeft w:val="0"/>
              <w:marRight w:val="0"/>
              <w:marTop w:val="0"/>
              <w:marBottom w:val="0"/>
              <w:divBdr>
                <w:top w:val="none" w:sz="0" w:space="0" w:color="auto"/>
                <w:left w:val="none" w:sz="0" w:space="0" w:color="auto"/>
                <w:bottom w:val="none" w:sz="0" w:space="0" w:color="auto"/>
                <w:right w:val="none" w:sz="0" w:space="0" w:color="auto"/>
              </w:divBdr>
              <w:divsChild>
                <w:div w:id="2290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754551">
      <w:bodyDiv w:val="1"/>
      <w:marLeft w:val="0"/>
      <w:marRight w:val="0"/>
      <w:marTop w:val="0"/>
      <w:marBottom w:val="0"/>
      <w:divBdr>
        <w:top w:val="none" w:sz="0" w:space="0" w:color="auto"/>
        <w:left w:val="none" w:sz="0" w:space="0" w:color="auto"/>
        <w:bottom w:val="none" w:sz="0" w:space="0" w:color="auto"/>
        <w:right w:val="none" w:sz="0" w:space="0" w:color="auto"/>
      </w:divBdr>
      <w:divsChild>
        <w:div w:id="1660690898">
          <w:marLeft w:val="0"/>
          <w:marRight w:val="0"/>
          <w:marTop w:val="0"/>
          <w:marBottom w:val="0"/>
          <w:divBdr>
            <w:top w:val="none" w:sz="0" w:space="0" w:color="auto"/>
            <w:left w:val="none" w:sz="0" w:space="0" w:color="auto"/>
            <w:bottom w:val="none" w:sz="0" w:space="0" w:color="auto"/>
            <w:right w:val="none" w:sz="0" w:space="0" w:color="auto"/>
          </w:divBdr>
        </w:div>
      </w:divsChild>
    </w:div>
    <w:div w:id="298387686">
      <w:bodyDiv w:val="1"/>
      <w:marLeft w:val="0"/>
      <w:marRight w:val="0"/>
      <w:marTop w:val="0"/>
      <w:marBottom w:val="0"/>
      <w:divBdr>
        <w:top w:val="none" w:sz="0" w:space="0" w:color="auto"/>
        <w:left w:val="none" w:sz="0" w:space="0" w:color="auto"/>
        <w:bottom w:val="none" w:sz="0" w:space="0" w:color="auto"/>
        <w:right w:val="none" w:sz="0" w:space="0" w:color="auto"/>
      </w:divBdr>
    </w:div>
    <w:div w:id="304435309">
      <w:bodyDiv w:val="1"/>
      <w:marLeft w:val="0"/>
      <w:marRight w:val="0"/>
      <w:marTop w:val="0"/>
      <w:marBottom w:val="0"/>
      <w:divBdr>
        <w:top w:val="none" w:sz="0" w:space="0" w:color="auto"/>
        <w:left w:val="none" w:sz="0" w:space="0" w:color="auto"/>
        <w:bottom w:val="none" w:sz="0" w:space="0" w:color="auto"/>
        <w:right w:val="none" w:sz="0" w:space="0" w:color="auto"/>
      </w:divBdr>
    </w:div>
    <w:div w:id="305667258">
      <w:bodyDiv w:val="1"/>
      <w:marLeft w:val="0"/>
      <w:marRight w:val="0"/>
      <w:marTop w:val="0"/>
      <w:marBottom w:val="0"/>
      <w:divBdr>
        <w:top w:val="none" w:sz="0" w:space="0" w:color="auto"/>
        <w:left w:val="none" w:sz="0" w:space="0" w:color="auto"/>
        <w:bottom w:val="none" w:sz="0" w:space="0" w:color="auto"/>
        <w:right w:val="none" w:sz="0" w:space="0" w:color="auto"/>
      </w:divBdr>
    </w:div>
    <w:div w:id="307367007">
      <w:bodyDiv w:val="1"/>
      <w:marLeft w:val="0"/>
      <w:marRight w:val="0"/>
      <w:marTop w:val="0"/>
      <w:marBottom w:val="0"/>
      <w:divBdr>
        <w:top w:val="none" w:sz="0" w:space="0" w:color="auto"/>
        <w:left w:val="none" w:sz="0" w:space="0" w:color="auto"/>
        <w:bottom w:val="none" w:sz="0" w:space="0" w:color="auto"/>
        <w:right w:val="none" w:sz="0" w:space="0" w:color="auto"/>
      </w:divBdr>
    </w:div>
    <w:div w:id="313142992">
      <w:bodyDiv w:val="1"/>
      <w:marLeft w:val="0"/>
      <w:marRight w:val="0"/>
      <w:marTop w:val="0"/>
      <w:marBottom w:val="0"/>
      <w:divBdr>
        <w:top w:val="none" w:sz="0" w:space="0" w:color="auto"/>
        <w:left w:val="none" w:sz="0" w:space="0" w:color="auto"/>
        <w:bottom w:val="none" w:sz="0" w:space="0" w:color="auto"/>
        <w:right w:val="none" w:sz="0" w:space="0" w:color="auto"/>
      </w:divBdr>
    </w:div>
    <w:div w:id="314839537">
      <w:bodyDiv w:val="1"/>
      <w:marLeft w:val="0"/>
      <w:marRight w:val="0"/>
      <w:marTop w:val="0"/>
      <w:marBottom w:val="0"/>
      <w:divBdr>
        <w:top w:val="none" w:sz="0" w:space="0" w:color="auto"/>
        <w:left w:val="none" w:sz="0" w:space="0" w:color="auto"/>
        <w:bottom w:val="none" w:sz="0" w:space="0" w:color="auto"/>
        <w:right w:val="none" w:sz="0" w:space="0" w:color="auto"/>
      </w:divBdr>
    </w:div>
    <w:div w:id="317464358">
      <w:bodyDiv w:val="1"/>
      <w:marLeft w:val="0"/>
      <w:marRight w:val="0"/>
      <w:marTop w:val="0"/>
      <w:marBottom w:val="0"/>
      <w:divBdr>
        <w:top w:val="none" w:sz="0" w:space="0" w:color="auto"/>
        <w:left w:val="none" w:sz="0" w:space="0" w:color="auto"/>
        <w:bottom w:val="none" w:sz="0" w:space="0" w:color="auto"/>
        <w:right w:val="none" w:sz="0" w:space="0" w:color="auto"/>
      </w:divBdr>
    </w:div>
    <w:div w:id="319845794">
      <w:bodyDiv w:val="1"/>
      <w:marLeft w:val="0"/>
      <w:marRight w:val="0"/>
      <w:marTop w:val="0"/>
      <w:marBottom w:val="0"/>
      <w:divBdr>
        <w:top w:val="none" w:sz="0" w:space="0" w:color="auto"/>
        <w:left w:val="none" w:sz="0" w:space="0" w:color="auto"/>
        <w:bottom w:val="none" w:sz="0" w:space="0" w:color="auto"/>
        <w:right w:val="none" w:sz="0" w:space="0" w:color="auto"/>
      </w:divBdr>
    </w:div>
    <w:div w:id="321545706">
      <w:bodyDiv w:val="1"/>
      <w:marLeft w:val="0"/>
      <w:marRight w:val="0"/>
      <w:marTop w:val="0"/>
      <w:marBottom w:val="0"/>
      <w:divBdr>
        <w:top w:val="none" w:sz="0" w:space="0" w:color="auto"/>
        <w:left w:val="none" w:sz="0" w:space="0" w:color="auto"/>
        <w:bottom w:val="none" w:sz="0" w:space="0" w:color="auto"/>
        <w:right w:val="none" w:sz="0" w:space="0" w:color="auto"/>
      </w:divBdr>
    </w:div>
    <w:div w:id="324482857">
      <w:bodyDiv w:val="1"/>
      <w:marLeft w:val="0"/>
      <w:marRight w:val="0"/>
      <w:marTop w:val="0"/>
      <w:marBottom w:val="0"/>
      <w:divBdr>
        <w:top w:val="none" w:sz="0" w:space="0" w:color="auto"/>
        <w:left w:val="none" w:sz="0" w:space="0" w:color="auto"/>
        <w:bottom w:val="none" w:sz="0" w:space="0" w:color="auto"/>
        <w:right w:val="none" w:sz="0" w:space="0" w:color="auto"/>
      </w:divBdr>
    </w:div>
    <w:div w:id="328218394">
      <w:bodyDiv w:val="1"/>
      <w:marLeft w:val="0"/>
      <w:marRight w:val="0"/>
      <w:marTop w:val="0"/>
      <w:marBottom w:val="0"/>
      <w:divBdr>
        <w:top w:val="none" w:sz="0" w:space="0" w:color="auto"/>
        <w:left w:val="none" w:sz="0" w:space="0" w:color="auto"/>
        <w:bottom w:val="none" w:sz="0" w:space="0" w:color="auto"/>
        <w:right w:val="none" w:sz="0" w:space="0" w:color="auto"/>
      </w:divBdr>
    </w:div>
    <w:div w:id="330375759">
      <w:bodyDiv w:val="1"/>
      <w:marLeft w:val="0"/>
      <w:marRight w:val="0"/>
      <w:marTop w:val="0"/>
      <w:marBottom w:val="0"/>
      <w:divBdr>
        <w:top w:val="none" w:sz="0" w:space="0" w:color="auto"/>
        <w:left w:val="none" w:sz="0" w:space="0" w:color="auto"/>
        <w:bottom w:val="none" w:sz="0" w:space="0" w:color="auto"/>
        <w:right w:val="none" w:sz="0" w:space="0" w:color="auto"/>
      </w:divBdr>
    </w:div>
    <w:div w:id="332924186">
      <w:bodyDiv w:val="1"/>
      <w:marLeft w:val="0"/>
      <w:marRight w:val="0"/>
      <w:marTop w:val="0"/>
      <w:marBottom w:val="0"/>
      <w:divBdr>
        <w:top w:val="none" w:sz="0" w:space="0" w:color="auto"/>
        <w:left w:val="none" w:sz="0" w:space="0" w:color="auto"/>
        <w:bottom w:val="none" w:sz="0" w:space="0" w:color="auto"/>
        <w:right w:val="none" w:sz="0" w:space="0" w:color="auto"/>
      </w:divBdr>
    </w:div>
    <w:div w:id="335108927">
      <w:bodyDiv w:val="1"/>
      <w:marLeft w:val="0"/>
      <w:marRight w:val="0"/>
      <w:marTop w:val="0"/>
      <w:marBottom w:val="0"/>
      <w:divBdr>
        <w:top w:val="none" w:sz="0" w:space="0" w:color="auto"/>
        <w:left w:val="none" w:sz="0" w:space="0" w:color="auto"/>
        <w:bottom w:val="none" w:sz="0" w:space="0" w:color="auto"/>
        <w:right w:val="none" w:sz="0" w:space="0" w:color="auto"/>
      </w:divBdr>
    </w:div>
    <w:div w:id="337080708">
      <w:bodyDiv w:val="1"/>
      <w:marLeft w:val="0"/>
      <w:marRight w:val="0"/>
      <w:marTop w:val="0"/>
      <w:marBottom w:val="0"/>
      <w:divBdr>
        <w:top w:val="none" w:sz="0" w:space="0" w:color="auto"/>
        <w:left w:val="none" w:sz="0" w:space="0" w:color="auto"/>
        <w:bottom w:val="none" w:sz="0" w:space="0" w:color="auto"/>
        <w:right w:val="none" w:sz="0" w:space="0" w:color="auto"/>
      </w:divBdr>
    </w:div>
    <w:div w:id="340667333">
      <w:bodyDiv w:val="1"/>
      <w:marLeft w:val="0"/>
      <w:marRight w:val="0"/>
      <w:marTop w:val="0"/>
      <w:marBottom w:val="0"/>
      <w:divBdr>
        <w:top w:val="none" w:sz="0" w:space="0" w:color="auto"/>
        <w:left w:val="none" w:sz="0" w:space="0" w:color="auto"/>
        <w:bottom w:val="none" w:sz="0" w:space="0" w:color="auto"/>
        <w:right w:val="none" w:sz="0" w:space="0" w:color="auto"/>
      </w:divBdr>
      <w:divsChild>
        <w:div w:id="2005357222">
          <w:marLeft w:val="0"/>
          <w:marRight w:val="0"/>
          <w:marTop w:val="0"/>
          <w:marBottom w:val="0"/>
          <w:divBdr>
            <w:top w:val="none" w:sz="0" w:space="0" w:color="auto"/>
            <w:left w:val="none" w:sz="0" w:space="0" w:color="auto"/>
            <w:bottom w:val="none" w:sz="0" w:space="0" w:color="auto"/>
            <w:right w:val="none" w:sz="0" w:space="0" w:color="auto"/>
          </w:divBdr>
          <w:divsChild>
            <w:div w:id="801192617">
              <w:marLeft w:val="0"/>
              <w:marRight w:val="0"/>
              <w:marTop w:val="0"/>
              <w:marBottom w:val="0"/>
              <w:divBdr>
                <w:top w:val="none" w:sz="0" w:space="0" w:color="auto"/>
                <w:left w:val="none" w:sz="0" w:space="0" w:color="auto"/>
                <w:bottom w:val="none" w:sz="0" w:space="0" w:color="auto"/>
                <w:right w:val="none" w:sz="0" w:space="0" w:color="auto"/>
              </w:divBdr>
              <w:divsChild>
                <w:div w:id="1067848533">
                  <w:marLeft w:val="0"/>
                  <w:marRight w:val="0"/>
                  <w:marTop w:val="0"/>
                  <w:marBottom w:val="0"/>
                  <w:divBdr>
                    <w:top w:val="none" w:sz="0" w:space="0" w:color="auto"/>
                    <w:left w:val="none" w:sz="0" w:space="0" w:color="auto"/>
                    <w:bottom w:val="none" w:sz="0" w:space="0" w:color="auto"/>
                    <w:right w:val="none" w:sz="0" w:space="0" w:color="auto"/>
                  </w:divBdr>
                  <w:divsChild>
                    <w:div w:id="588588077">
                      <w:marLeft w:val="-15"/>
                      <w:marRight w:val="0"/>
                      <w:marTop w:val="0"/>
                      <w:marBottom w:val="0"/>
                      <w:divBdr>
                        <w:top w:val="none" w:sz="0" w:space="0" w:color="auto"/>
                        <w:left w:val="none" w:sz="0" w:space="0" w:color="auto"/>
                        <w:bottom w:val="none" w:sz="0" w:space="0" w:color="auto"/>
                        <w:right w:val="none" w:sz="0" w:space="0" w:color="auto"/>
                      </w:divBdr>
                      <w:divsChild>
                        <w:div w:id="1374306690">
                          <w:marLeft w:val="0"/>
                          <w:marRight w:val="30"/>
                          <w:marTop w:val="45"/>
                          <w:marBottom w:val="60"/>
                          <w:divBdr>
                            <w:top w:val="none" w:sz="0" w:space="0" w:color="auto"/>
                            <w:left w:val="none" w:sz="0" w:space="0" w:color="auto"/>
                            <w:bottom w:val="none" w:sz="0" w:space="0" w:color="auto"/>
                            <w:right w:val="none" w:sz="0" w:space="0" w:color="auto"/>
                          </w:divBdr>
                        </w:div>
                      </w:divsChild>
                    </w:div>
                    <w:div w:id="948045099">
                      <w:marLeft w:val="0"/>
                      <w:marRight w:val="0"/>
                      <w:marTop w:val="0"/>
                      <w:marBottom w:val="0"/>
                      <w:divBdr>
                        <w:top w:val="none" w:sz="0" w:space="0" w:color="auto"/>
                        <w:left w:val="none" w:sz="0" w:space="0" w:color="auto"/>
                        <w:bottom w:val="none" w:sz="0" w:space="0" w:color="auto"/>
                        <w:right w:val="none" w:sz="0" w:space="0" w:color="auto"/>
                      </w:divBdr>
                      <w:divsChild>
                        <w:div w:id="1650329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128897">
          <w:marLeft w:val="0"/>
          <w:marRight w:val="0"/>
          <w:marTop w:val="0"/>
          <w:marBottom w:val="0"/>
          <w:divBdr>
            <w:top w:val="none" w:sz="0" w:space="0" w:color="auto"/>
            <w:left w:val="none" w:sz="0" w:space="0" w:color="auto"/>
            <w:bottom w:val="none" w:sz="0" w:space="0" w:color="auto"/>
            <w:right w:val="none" w:sz="0" w:space="0" w:color="auto"/>
          </w:divBdr>
          <w:divsChild>
            <w:div w:id="1847743689">
              <w:marLeft w:val="0"/>
              <w:marRight w:val="0"/>
              <w:marTop w:val="0"/>
              <w:marBottom w:val="0"/>
              <w:divBdr>
                <w:top w:val="none" w:sz="0" w:space="0" w:color="auto"/>
                <w:left w:val="none" w:sz="0" w:space="0" w:color="auto"/>
                <w:bottom w:val="none" w:sz="0" w:space="0" w:color="auto"/>
                <w:right w:val="none" w:sz="0" w:space="0" w:color="auto"/>
              </w:divBdr>
              <w:divsChild>
                <w:div w:id="789977494">
                  <w:marLeft w:val="0"/>
                  <w:marRight w:val="0"/>
                  <w:marTop w:val="15"/>
                  <w:marBottom w:val="0"/>
                  <w:divBdr>
                    <w:top w:val="none" w:sz="0" w:space="0" w:color="auto"/>
                    <w:left w:val="none" w:sz="0" w:space="0" w:color="auto"/>
                    <w:bottom w:val="none" w:sz="0" w:space="0" w:color="auto"/>
                    <w:right w:val="none" w:sz="0" w:space="0" w:color="auto"/>
                  </w:divBdr>
                  <w:divsChild>
                    <w:div w:id="677730455">
                      <w:marLeft w:val="0"/>
                      <w:marRight w:val="0"/>
                      <w:marTop w:val="0"/>
                      <w:marBottom w:val="0"/>
                      <w:divBdr>
                        <w:top w:val="none" w:sz="0" w:space="0" w:color="auto"/>
                        <w:left w:val="none" w:sz="0" w:space="0" w:color="auto"/>
                        <w:bottom w:val="none" w:sz="0" w:space="0" w:color="auto"/>
                        <w:right w:val="none" w:sz="0" w:space="0" w:color="auto"/>
                      </w:divBdr>
                      <w:divsChild>
                        <w:div w:id="937061378">
                          <w:marLeft w:val="0"/>
                          <w:marRight w:val="0"/>
                          <w:marTop w:val="0"/>
                          <w:marBottom w:val="0"/>
                          <w:divBdr>
                            <w:top w:val="none" w:sz="0" w:space="0" w:color="auto"/>
                            <w:left w:val="none" w:sz="0" w:space="0" w:color="auto"/>
                            <w:bottom w:val="none" w:sz="0" w:space="0" w:color="auto"/>
                            <w:right w:val="none" w:sz="0" w:space="0" w:color="auto"/>
                          </w:divBdr>
                        </w:div>
                        <w:div w:id="822238447">
                          <w:marLeft w:val="0"/>
                          <w:marRight w:val="0"/>
                          <w:marTop w:val="0"/>
                          <w:marBottom w:val="0"/>
                          <w:divBdr>
                            <w:top w:val="none" w:sz="0" w:space="0" w:color="auto"/>
                            <w:left w:val="none" w:sz="0" w:space="0" w:color="auto"/>
                            <w:bottom w:val="none" w:sz="0" w:space="0" w:color="auto"/>
                            <w:right w:val="none" w:sz="0" w:space="0" w:color="auto"/>
                          </w:divBdr>
                        </w:div>
                        <w:div w:id="1465005509">
                          <w:marLeft w:val="0"/>
                          <w:marRight w:val="0"/>
                          <w:marTop w:val="0"/>
                          <w:marBottom w:val="0"/>
                          <w:divBdr>
                            <w:top w:val="none" w:sz="0" w:space="0" w:color="auto"/>
                            <w:left w:val="none" w:sz="0" w:space="0" w:color="auto"/>
                            <w:bottom w:val="none" w:sz="0" w:space="0" w:color="auto"/>
                            <w:right w:val="none" w:sz="0" w:space="0" w:color="auto"/>
                          </w:divBdr>
                        </w:div>
                        <w:div w:id="1575165882">
                          <w:marLeft w:val="0"/>
                          <w:marRight w:val="0"/>
                          <w:marTop w:val="0"/>
                          <w:marBottom w:val="0"/>
                          <w:divBdr>
                            <w:top w:val="none" w:sz="0" w:space="0" w:color="auto"/>
                            <w:left w:val="none" w:sz="0" w:space="0" w:color="auto"/>
                            <w:bottom w:val="none" w:sz="0" w:space="0" w:color="auto"/>
                            <w:right w:val="none" w:sz="0" w:space="0" w:color="auto"/>
                          </w:divBdr>
                        </w:div>
                        <w:div w:id="923999382">
                          <w:marLeft w:val="0"/>
                          <w:marRight w:val="0"/>
                          <w:marTop w:val="0"/>
                          <w:marBottom w:val="0"/>
                          <w:divBdr>
                            <w:top w:val="none" w:sz="0" w:space="0" w:color="auto"/>
                            <w:left w:val="none" w:sz="0" w:space="0" w:color="auto"/>
                            <w:bottom w:val="none" w:sz="0" w:space="0" w:color="auto"/>
                            <w:right w:val="none" w:sz="0" w:space="0" w:color="auto"/>
                          </w:divBdr>
                        </w:div>
                        <w:div w:id="747577598">
                          <w:marLeft w:val="0"/>
                          <w:marRight w:val="0"/>
                          <w:marTop w:val="0"/>
                          <w:marBottom w:val="0"/>
                          <w:divBdr>
                            <w:top w:val="none" w:sz="0" w:space="0" w:color="auto"/>
                            <w:left w:val="none" w:sz="0" w:space="0" w:color="auto"/>
                            <w:bottom w:val="none" w:sz="0" w:space="0" w:color="auto"/>
                            <w:right w:val="none" w:sz="0" w:space="0" w:color="auto"/>
                          </w:divBdr>
                        </w:div>
                        <w:div w:id="797407157">
                          <w:marLeft w:val="0"/>
                          <w:marRight w:val="0"/>
                          <w:marTop w:val="0"/>
                          <w:marBottom w:val="0"/>
                          <w:divBdr>
                            <w:top w:val="none" w:sz="0" w:space="0" w:color="auto"/>
                            <w:left w:val="none" w:sz="0" w:space="0" w:color="auto"/>
                            <w:bottom w:val="none" w:sz="0" w:space="0" w:color="auto"/>
                            <w:right w:val="none" w:sz="0" w:space="0" w:color="auto"/>
                          </w:divBdr>
                        </w:div>
                        <w:div w:id="319970994">
                          <w:marLeft w:val="0"/>
                          <w:marRight w:val="0"/>
                          <w:marTop w:val="0"/>
                          <w:marBottom w:val="0"/>
                          <w:divBdr>
                            <w:top w:val="none" w:sz="0" w:space="0" w:color="auto"/>
                            <w:left w:val="none" w:sz="0" w:space="0" w:color="auto"/>
                            <w:bottom w:val="none" w:sz="0" w:space="0" w:color="auto"/>
                            <w:right w:val="none" w:sz="0" w:space="0" w:color="auto"/>
                          </w:divBdr>
                        </w:div>
                        <w:div w:id="1799839688">
                          <w:marLeft w:val="0"/>
                          <w:marRight w:val="0"/>
                          <w:marTop w:val="0"/>
                          <w:marBottom w:val="0"/>
                          <w:divBdr>
                            <w:top w:val="none" w:sz="0" w:space="0" w:color="auto"/>
                            <w:left w:val="none" w:sz="0" w:space="0" w:color="auto"/>
                            <w:bottom w:val="none" w:sz="0" w:space="0" w:color="auto"/>
                            <w:right w:val="none" w:sz="0" w:space="0" w:color="auto"/>
                          </w:divBdr>
                        </w:div>
                        <w:div w:id="247347765">
                          <w:marLeft w:val="0"/>
                          <w:marRight w:val="0"/>
                          <w:marTop w:val="0"/>
                          <w:marBottom w:val="0"/>
                          <w:divBdr>
                            <w:top w:val="none" w:sz="0" w:space="0" w:color="auto"/>
                            <w:left w:val="none" w:sz="0" w:space="0" w:color="auto"/>
                            <w:bottom w:val="none" w:sz="0" w:space="0" w:color="auto"/>
                            <w:right w:val="none" w:sz="0" w:space="0" w:color="auto"/>
                          </w:divBdr>
                        </w:div>
                        <w:div w:id="470753904">
                          <w:marLeft w:val="0"/>
                          <w:marRight w:val="0"/>
                          <w:marTop w:val="0"/>
                          <w:marBottom w:val="0"/>
                          <w:divBdr>
                            <w:top w:val="none" w:sz="0" w:space="0" w:color="auto"/>
                            <w:left w:val="none" w:sz="0" w:space="0" w:color="auto"/>
                            <w:bottom w:val="none" w:sz="0" w:space="0" w:color="auto"/>
                            <w:right w:val="none" w:sz="0" w:space="0" w:color="auto"/>
                          </w:divBdr>
                        </w:div>
                        <w:div w:id="587422974">
                          <w:marLeft w:val="0"/>
                          <w:marRight w:val="0"/>
                          <w:marTop w:val="0"/>
                          <w:marBottom w:val="0"/>
                          <w:divBdr>
                            <w:top w:val="none" w:sz="0" w:space="0" w:color="auto"/>
                            <w:left w:val="none" w:sz="0" w:space="0" w:color="auto"/>
                            <w:bottom w:val="none" w:sz="0" w:space="0" w:color="auto"/>
                            <w:right w:val="none" w:sz="0" w:space="0" w:color="auto"/>
                          </w:divBdr>
                        </w:div>
                        <w:div w:id="423303602">
                          <w:marLeft w:val="0"/>
                          <w:marRight w:val="0"/>
                          <w:marTop w:val="0"/>
                          <w:marBottom w:val="0"/>
                          <w:divBdr>
                            <w:top w:val="none" w:sz="0" w:space="0" w:color="auto"/>
                            <w:left w:val="none" w:sz="0" w:space="0" w:color="auto"/>
                            <w:bottom w:val="none" w:sz="0" w:space="0" w:color="auto"/>
                            <w:right w:val="none" w:sz="0" w:space="0" w:color="auto"/>
                          </w:divBdr>
                        </w:div>
                        <w:div w:id="1238713564">
                          <w:marLeft w:val="0"/>
                          <w:marRight w:val="0"/>
                          <w:marTop w:val="0"/>
                          <w:marBottom w:val="0"/>
                          <w:divBdr>
                            <w:top w:val="none" w:sz="0" w:space="0" w:color="auto"/>
                            <w:left w:val="none" w:sz="0" w:space="0" w:color="auto"/>
                            <w:bottom w:val="none" w:sz="0" w:space="0" w:color="auto"/>
                            <w:right w:val="none" w:sz="0" w:space="0" w:color="auto"/>
                          </w:divBdr>
                        </w:div>
                        <w:div w:id="1345398995">
                          <w:marLeft w:val="0"/>
                          <w:marRight w:val="0"/>
                          <w:marTop w:val="0"/>
                          <w:marBottom w:val="0"/>
                          <w:divBdr>
                            <w:top w:val="none" w:sz="0" w:space="0" w:color="auto"/>
                            <w:left w:val="none" w:sz="0" w:space="0" w:color="auto"/>
                            <w:bottom w:val="none" w:sz="0" w:space="0" w:color="auto"/>
                            <w:right w:val="none" w:sz="0" w:space="0" w:color="auto"/>
                          </w:divBdr>
                        </w:div>
                        <w:div w:id="1137993394">
                          <w:marLeft w:val="0"/>
                          <w:marRight w:val="0"/>
                          <w:marTop w:val="0"/>
                          <w:marBottom w:val="0"/>
                          <w:divBdr>
                            <w:top w:val="none" w:sz="0" w:space="0" w:color="auto"/>
                            <w:left w:val="none" w:sz="0" w:space="0" w:color="auto"/>
                            <w:bottom w:val="none" w:sz="0" w:space="0" w:color="auto"/>
                            <w:right w:val="none" w:sz="0" w:space="0" w:color="auto"/>
                          </w:divBdr>
                        </w:div>
                        <w:div w:id="1939018501">
                          <w:marLeft w:val="0"/>
                          <w:marRight w:val="0"/>
                          <w:marTop w:val="0"/>
                          <w:marBottom w:val="0"/>
                          <w:divBdr>
                            <w:top w:val="none" w:sz="0" w:space="0" w:color="auto"/>
                            <w:left w:val="none" w:sz="0" w:space="0" w:color="auto"/>
                            <w:bottom w:val="none" w:sz="0" w:space="0" w:color="auto"/>
                            <w:right w:val="none" w:sz="0" w:space="0" w:color="auto"/>
                          </w:divBdr>
                        </w:div>
                        <w:div w:id="612447131">
                          <w:marLeft w:val="0"/>
                          <w:marRight w:val="0"/>
                          <w:marTop w:val="0"/>
                          <w:marBottom w:val="0"/>
                          <w:divBdr>
                            <w:top w:val="none" w:sz="0" w:space="0" w:color="auto"/>
                            <w:left w:val="none" w:sz="0" w:space="0" w:color="auto"/>
                            <w:bottom w:val="none" w:sz="0" w:space="0" w:color="auto"/>
                            <w:right w:val="none" w:sz="0" w:space="0" w:color="auto"/>
                          </w:divBdr>
                        </w:div>
                        <w:div w:id="1725760580">
                          <w:marLeft w:val="0"/>
                          <w:marRight w:val="0"/>
                          <w:marTop w:val="0"/>
                          <w:marBottom w:val="0"/>
                          <w:divBdr>
                            <w:top w:val="none" w:sz="0" w:space="0" w:color="auto"/>
                            <w:left w:val="none" w:sz="0" w:space="0" w:color="auto"/>
                            <w:bottom w:val="none" w:sz="0" w:space="0" w:color="auto"/>
                            <w:right w:val="none" w:sz="0" w:space="0" w:color="auto"/>
                          </w:divBdr>
                        </w:div>
                        <w:div w:id="1018233466">
                          <w:marLeft w:val="0"/>
                          <w:marRight w:val="0"/>
                          <w:marTop w:val="0"/>
                          <w:marBottom w:val="0"/>
                          <w:divBdr>
                            <w:top w:val="none" w:sz="0" w:space="0" w:color="auto"/>
                            <w:left w:val="none" w:sz="0" w:space="0" w:color="auto"/>
                            <w:bottom w:val="none" w:sz="0" w:space="0" w:color="auto"/>
                            <w:right w:val="none" w:sz="0" w:space="0" w:color="auto"/>
                          </w:divBdr>
                        </w:div>
                        <w:div w:id="391580719">
                          <w:marLeft w:val="0"/>
                          <w:marRight w:val="0"/>
                          <w:marTop w:val="0"/>
                          <w:marBottom w:val="0"/>
                          <w:divBdr>
                            <w:top w:val="none" w:sz="0" w:space="0" w:color="auto"/>
                            <w:left w:val="none" w:sz="0" w:space="0" w:color="auto"/>
                            <w:bottom w:val="none" w:sz="0" w:space="0" w:color="auto"/>
                            <w:right w:val="none" w:sz="0" w:space="0" w:color="auto"/>
                          </w:divBdr>
                        </w:div>
                        <w:div w:id="2013216068">
                          <w:marLeft w:val="0"/>
                          <w:marRight w:val="0"/>
                          <w:marTop w:val="0"/>
                          <w:marBottom w:val="0"/>
                          <w:divBdr>
                            <w:top w:val="none" w:sz="0" w:space="0" w:color="auto"/>
                            <w:left w:val="none" w:sz="0" w:space="0" w:color="auto"/>
                            <w:bottom w:val="none" w:sz="0" w:space="0" w:color="auto"/>
                            <w:right w:val="none" w:sz="0" w:space="0" w:color="auto"/>
                          </w:divBdr>
                        </w:div>
                        <w:div w:id="1996179336">
                          <w:marLeft w:val="0"/>
                          <w:marRight w:val="0"/>
                          <w:marTop w:val="0"/>
                          <w:marBottom w:val="0"/>
                          <w:divBdr>
                            <w:top w:val="none" w:sz="0" w:space="0" w:color="auto"/>
                            <w:left w:val="none" w:sz="0" w:space="0" w:color="auto"/>
                            <w:bottom w:val="none" w:sz="0" w:space="0" w:color="auto"/>
                            <w:right w:val="none" w:sz="0" w:space="0" w:color="auto"/>
                          </w:divBdr>
                        </w:div>
                        <w:div w:id="1409618714">
                          <w:marLeft w:val="0"/>
                          <w:marRight w:val="0"/>
                          <w:marTop w:val="0"/>
                          <w:marBottom w:val="0"/>
                          <w:divBdr>
                            <w:top w:val="none" w:sz="0" w:space="0" w:color="auto"/>
                            <w:left w:val="none" w:sz="0" w:space="0" w:color="auto"/>
                            <w:bottom w:val="none" w:sz="0" w:space="0" w:color="auto"/>
                            <w:right w:val="none" w:sz="0" w:space="0" w:color="auto"/>
                          </w:divBdr>
                        </w:div>
                        <w:div w:id="1711766125">
                          <w:marLeft w:val="0"/>
                          <w:marRight w:val="0"/>
                          <w:marTop w:val="0"/>
                          <w:marBottom w:val="0"/>
                          <w:divBdr>
                            <w:top w:val="none" w:sz="0" w:space="0" w:color="auto"/>
                            <w:left w:val="none" w:sz="0" w:space="0" w:color="auto"/>
                            <w:bottom w:val="none" w:sz="0" w:space="0" w:color="auto"/>
                            <w:right w:val="none" w:sz="0" w:space="0" w:color="auto"/>
                          </w:divBdr>
                        </w:div>
                        <w:div w:id="1594512688">
                          <w:marLeft w:val="0"/>
                          <w:marRight w:val="0"/>
                          <w:marTop w:val="0"/>
                          <w:marBottom w:val="0"/>
                          <w:divBdr>
                            <w:top w:val="none" w:sz="0" w:space="0" w:color="auto"/>
                            <w:left w:val="none" w:sz="0" w:space="0" w:color="auto"/>
                            <w:bottom w:val="none" w:sz="0" w:space="0" w:color="auto"/>
                            <w:right w:val="none" w:sz="0" w:space="0" w:color="auto"/>
                          </w:divBdr>
                        </w:div>
                        <w:div w:id="1137651336">
                          <w:marLeft w:val="0"/>
                          <w:marRight w:val="0"/>
                          <w:marTop w:val="0"/>
                          <w:marBottom w:val="0"/>
                          <w:divBdr>
                            <w:top w:val="none" w:sz="0" w:space="0" w:color="auto"/>
                            <w:left w:val="none" w:sz="0" w:space="0" w:color="auto"/>
                            <w:bottom w:val="none" w:sz="0" w:space="0" w:color="auto"/>
                            <w:right w:val="none" w:sz="0" w:space="0" w:color="auto"/>
                          </w:divBdr>
                        </w:div>
                        <w:div w:id="790825123">
                          <w:marLeft w:val="0"/>
                          <w:marRight w:val="0"/>
                          <w:marTop w:val="0"/>
                          <w:marBottom w:val="0"/>
                          <w:divBdr>
                            <w:top w:val="none" w:sz="0" w:space="0" w:color="auto"/>
                            <w:left w:val="none" w:sz="0" w:space="0" w:color="auto"/>
                            <w:bottom w:val="none" w:sz="0" w:space="0" w:color="auto"/>
                            <w:right w:val="none" w:sz="0" w:space="0" w:color="auto"/>
                          </w:divBdr>
                        </w:div>
                        <w:div w:id="1452280773">
                          <w:marLeft w:val="0"/>
                          <w:marRight w:val="0"/>
                          <w:marTop w:val="0"/>
                          <w:marBottom w:val="0"/>
                          <w:divBdr>
                            <w:top w:val="none" w:sz="0" w:space="0" w:color="auto"/>
                            <w:left w:val="none" w:sz="0" w:space="0" w:color="auto"/>
                            <w:bottom w:val="none" w:sz="0" w:space="0" w:color="auto"/>
                            <w:right w:val="none" w:sz="0" w:space="0" w:color="auto"/>
                          </w:divBdr>
                        </w:div>
                        <w:div w:id="478377538">
                          <w:marLeft w:val="0"/>
                          <w:marRight w:val="0"/>
                          <w:marTop w:val="0"/>
                          <w:marBottom w:val="0"/>
                          <w:divBdr>
                            <w:top w:val="none" w:sz="0" w:space="0" w:color="auto"/>
                            <w:left w:val="none" w:sz="0" w:space="0" w:color="auto"/>
                            <w:bottom w:val="none" w:sz="0" w:space="0" w:color="auto"/>
                            <w:right w:val="none" w:sz="0" w:space="0" w:color="auto"/>
                          </w:divBdr>
                        </w:div>
                        <w:div w:id="1909147628">
                          <w:marLeft w:val="0"/>
                          <w:marRight w:val="0"/>
                          <w:marTop w:val="0"/>
                          <w:marBottom w:val="0"/>
                          <w:divBdr>
                            <w:top w:val="none" w:sz="0" w:space="0" w:color="auto"/>
                            <w:left w:val="none" w:sz="0" w:space="0" w:color="auto"/>
                            <w:bottom w:val="none" w:sz="0" w:space="0" w:color="auto"/>
                            <w:right w:val="none" w:sz="0" w:space="0" w:color="auto"/>
                          </w:divBdr>
                        </w:div>
                        <w:div w:id="1138645579">
                          <w:marLeft w:val="0"/>
                          <w:marRight w:val="0"/>
                          <w:marTop w:val="0"/>
                          <w:marBottom w:val="0"/>
                          <w:divBdr>
                            <w:top w:val="none" w:sz="0" w:space="0" w:color="auto"/>
                            <w:left w:val="none" w:sz="0" w:space="0" w:color="auto"/>
                            <w:bottom w:val="none" w:sz="0" w:space="0" w:color="auto"/>
                            <w:right w:val="none" w:sz="0" w:space="0" w:color="auto"/>
                          </w:divBdr>
                        </w:div>
                        <w:div w:id="343635069">
                          <w:marLeft w:val="0"/>
                          <w:marRight w:val="0"/>
                          <w:marTop w:val="0"/>
                          <w:marBottom w:val="0"/>
                          <w:divBdr>
                            <w:top w:val="none" w:sz="0" w:space="0" w:color="auto"/>
                            <w:left w:val="none" w:sz="0" w:space="0" w:color="auto"/>
                            <w:bottom w:val="none" w:sz="0" w:space="0" w:color="auto"/>
                            <w:right w:val="none" w:sz="0" w:space="0" w:color="auto"/>
                          </w:divBdr>
                        </w:div>
                        <w:div w:id="196351939">
                          <w:marLeft w:val="0"/>
                          <w:marRight w:val="0"/>
                          <w:marTop w:val="0"/>
                          <w:marBottom w:val="0"/>
                          <w:divBdr>
                            <w:top w:val="none" w:sz="0" w:space="0" w:color="auto"/>
                            <w:left w:val="none" w:sz="0" w:space="0" w:color="auto"/>
                            <w:bottom w:val="none" w:sz="0" w:space="0" w:color="auto"/>
                            <w:right w:val="none" w:sz="0" w:space="0" w:color="auto"/>
                          </w:divBdr>
                        </w:div>
                        <w:div w:id="706561036">
                          <w:marLeft w:val="0"/>
                          <w:marRight w:val="0"/>
                          <w:marTop w:val="0"/>
                          <w:marBottom w:val="0"/>
                          <w:divBdr>
                            <w:top w:val="none" w:sz="0" w:space="0" w:color="auto"/>
                            <w:left w:val="none" w:sz="0" w:space="0" w:color="auto"/>
                            <w:bottom w:val="none" w:sz="0" w:space="0" w:color="auto"/>
                            <w:right w:val="none" w:sz="0" w:space="0" w:color="auto"/>
                          </w:divBdr>
                        </w:div>
                        <w:div w:id="446697801">
                          <w:marLeft w:val="0"/>
                          <w:marRight w:val="0"/>
                          <w:marTop w:val="0"/>
                          <w:marBottom w:val="0"/>
                          <w:divBdr>
                            <w:top w:val="none" w:sz="0" w:space="0" w:color="auto"/>
                            <w:left w:val="none" w:sz="0" w:space="0" w:color="auto"/>
                            <w:bottom w:val="none" w:sz="0" w:space="0" w:color="auto"/>
                            <w:right w:val="none" w:sz="0" w:space="0" w:color="auto"/>
                          </w:divBdr>
                        </w:div>
                        <w:div w:id="922105207">
                          <w:marLeft w:val="0"/>
                          <w:marRight w:val="0"/>
                          <w:marTop w:val="0"/>
                          <w:marBottom w:val="0"/>
                          <w:divBdr>
                            <w:top w:val="none" w:sz="0" w:space="0" w:color="auto"/>
                            <w:left w:val="none" w:sz="0" w:space="0" w:color="auto"/>
                            <w:bottom w:val="none" w:sz="0" w:space="0" w:color="auto"/>
                            <w:right w:val="none" w:sz="0" w:space="0" w:color="auto"/>
                          </w:divBdr>
                        </w:div>
                        <w:div w:id="795299047">
                          <w:marLeft w:val="0"/>
                          <w:marRight w:val="0"/>
                          <w:marTop w:val="0"/>
                          <w:marBottom w:val="0"/>
                          <w:divBdr>
                            <w:top w:val="none" w:sz="0" w:space="0" w:color="auto"/>
                            <w:left w:val="none" w:sz="0" w:space="0" w:color="auto"/>
                            <w:bottom w:val="none" w:sz="0" w:space="0" w:color="auto"/>
                            <w:right w:val="none" w:sz="0" w:space="0" w:color="auto"/>
                          </w:divBdr>
                        </w:div>
                        <w:div w:id="1462533653">
                          <w:marLeft w:val="0"/>
                          <w:marRight w:val="0"/>
                          <w:marTop w:val="0"/>
                          <w:marBottom w:val="0"/>
                          <w:divBdr>
                            <w:top w:val="none" w:sz="0" w:space="0" w:color="auto"/>
                            <w:left w:val="none" w:sz="0" w:space="0" w:color="auto"/>
                            <w:bottom w:val="none" w:sz="0" w:space="0" w:color="auto"/>
                            <w:right w:val="none" w:sz="0" w:space="0" w:color="auto"/>
                          </w:divBdr>
                        </w:div>
                        <w:div w:id="185950991">
                          <w:marLeft w:val="0"/>
                          <w:marRight w:val="0"/>
                          <w:marTop w:val="0"/>
                          <w:marBottom w:val="0"/>
                          <w:divBdr>
                            <w:top w:val="none" w:sz="0" w:space="0" w:color="auto"/>
                            <w:left w:val="none" w:sz="0" w:space="0" w:color="auto"/>
                            <w:bottom w:val="none" w:sz="0" w:space="0" w:color="auto"/>
                            <w:right w:val="none" w:sz="0" w:space="0" w:color="auto"/>
                          </w:divBdr>
                        </w:div>
                        <w:div w:id="1817407516">
                          <w:marLeft w:val="0"/>
                          <w:marRight w:val="0"/>
                          <w:marTop w:val="0"/>
                          <w:marBottom w:val="0"/>
                          <w:divBdr>
                            <w:top w:val="none" w:sz="0" w:space="0" w:color="auto"/>
                            <w:left w:val="none" w:sz="0" w:space="0" w:color="auto"/>
                            <w:bottom w:val="none" w:sz="0" w:space="0" w:color="auto"/>
                            <w:right w:val="none" w:sz="0" w:space="0" w:color="auto"/>
                          </w:divBdr>
                        </w:div>
                        <w:div w:id="2092852135">
                          <w:marLeft w:val="0"/>
                          <w:marRight w:val="0"/>
                          <w:marTop w:val="0"/>
                          <w:marBottom w:val="0"/>
                          <w:divBdr>
                            <w:top w:val="none" w:sz="0" w:space="0" w:color="auto"/>
                            <w:left w:val="none" w:sz="0" w:space="0" w:color="auto"/>
                            <w:bottom w:val="none" w:sz="0" w:space="0" w:color="auto"/>
                            <w:right w:val="none" w:sz="0" w:space="0" w:color="auto"/>
                          </w:divBdr>
                        </w:div>
                        <w:div w:id="492063570">
                          <w:marLeft w:val="0"/>
                          <w:marRight w:val="0"/>
                          <w:marTop w:val="0"/>
                          <w:marBottom w:val="0"/>
                          <w:divBdr>
                            <w:top w:val="none" w:sz="0" w:space="0" w:color="auto"/>
                            <w:left w:val="none" w:sz="0" w:space="0" w:color="auto"/>
                            <w:bottom w:val="none" w:sz="0" w:space="0" w:color="auto"/>
                            <w:right w:val="none" w:sz="0" w:space="0" w:color="auto"/>
                          </w:divBdr>
                        </w:div>
                        <w:div w:id="880942717">
                          <w:marLeft w:val="0"/>
                          <w:marRight w:val="0"/>
                          <w:marTop w:val="0"/>
                          <w:marBottom w:val="0"/>
                          <w:divBdr>
                            <w:top w:val="none" w:sz="0" w:space="0" w:color="auto"/>
                            <w:left w:val="none" w:sz="0" w:space="0" w:color="auto"/>
                            <w:bottom w:val="none" w:sz="0" w:space="0" w:color="auto"/>
                            <w:right w:val="none" w:sz="0" w:space="0" w:color="auto"/>
                          </w:divBdr>
                        </w:div>
                        <w:div w:id="1118375457">
                          <w:marLeft w:val="0"/>
                          <w:marRight w:val="0"/>
                          <w:marTop w:val="0"/>
                          <w:marBottom w:val="0"/>
                          <w:divBdr>
                            <w:top w:val="none" w:sz="0" w:space="0" w:color="auto"/>
                            <w:left w:val="none" w:sz="0" w:space="0" w:color="auto"/>
                            <w:bottom w:val="none" w:sz="0" w:space="0" w:color="auto"/>
                            <w:right w:val="none" w:sz="0" w:space="0" w:color="auto"/>
                          </w:divBdr>
                        </w:div>
                        <w:div w:id="274404334">
                          <w:marLeft w:val="0"/>
                          <w:marRight w:val="0"/>
                          <w:marTop w:val="0"/>
                          <w:marBottom w:val="0"/>
                          <w:divBdr>
                            <w:top w:val="none" w:sz="0" w:space="0" w:color="auto"/>
                            <w:left w:val="none" w:sz="0" w:space="0" w:color="auto"/>
                            <w:bottom w:val="none" w:sz="0" w:space="0" w:color="auto"/>
                            <w:right w:val="none" w:sz="0" w:space="0" w:color="auto"/>
                          </w:divBdr>
                        </w:div>
                        <w:div w:id="287703785">
                          <w:marLeft w:val="0"/>
                          <w:marRight w:val="0"/>
                          <w:marTop w:val="0"/>
                          <w:marBottom w:val="0"/>
                          <w:divBdr>
                            <w:top w:val="none" w:sz="0" w:space="0" w:color="auto"/>
                            <w:left w:val="none" w:sz="0" w:space="0" w:color="auto"/>
                            <w:bottom w:val="none" w:sz="0" w:space="0" w:color="auto"/>
                            <w:right w:val="none" w:sz="0" w:space="0" w:color="auto"/>
                          </w:divBdr>
                        </w:div>
                        <w:div w:id="459029928">
                          <w:marLeft w:val="0"/>
                          <w:marRight w:val="0"/>
                          <w:marTop w:val="0"/>
                          <w:marBottom w:val="0"/>
                          <w:divBdr>
                            <w:top w:val="none" w:sz="0" w:space="0" w:color="auto"/>
                            <w:left w:val="none" w:sz="0" w:space="0" w:color="auto"/>
                            <w:bottom w:val="none" w:sz="0" w:space="0" w:color="auto"/>
                            <w:right w:val="none" w:sz="0" w:space="0" w:color="auto"/>
                          </w:divBdr>
                        </w:div>
                        <w:div w:id="2130850391">
                          <w:marLeft w:val="0"/>
                          <w:marRight w:val="0"/>
                          <w:marTop w:val="0"/>
                          <w:marBottom w:val="0"/>
                          <w:divBdr>
                            <w:top w:val="none" w:sz="0" w:space="0" w:color="auto"/>
                            <w:left w:val="none" w:sz="0" w:space="0" w:color="auto"/>
                            <w:bottom w:val="none" w:sz="0" w:space="0" w:color="auto"/>
                            <w:right w:val="none" w:sz="0" w:space="0" w:color="auto"/>
                          </w:divBdr>
                        </w:div>
                        <w:div w:id="1341855803">
                          <w:marLeft w:val="0"/>
                          <w:marRight w:val="0"/>
                          <w:marTop w:val="0"/>
                          <w:marBottom w:val="0"/>
                          <w:divBdr>
                            <w:top w:val="none" w:sz="0" w:space="0" w:color="auto"/>
                            <w:left w:val="none" w:sz="0" w:space="0" w:color="auto"/>
                            <w:bottom w:val="none" w:sz="0" w:space="0" w:color="auto"/>
                            <w:right w:val="none" w:sz="0" w:space="0" w:color="auto"/>
                          </w:divBdr>
                        </w:div>
                        <w:div w:id="375619183">
                          <w:marLeft w:val="0"/>
                          <w:marRight w:val="0"/>
                          <w:marTop w:val="0"/>
                          <w:marBottom w:val="0"/>
                          <w:divBdr>
                            <w:top w:val="none" w:sz="0" w:space="0" w:color="auto"/>
                            <w:left w:val="none" w:sz="0" w:space="0" w:color="auto"/>
                            <w:bottom w:val="none" w:sz="0" w:space="0" w:color="auto"/>
                            <w:right w:val="none" w:sz="0" w:space="0" w:color="auto"/>
                          </w:divBdr>
                        </w:div>
                        <w:div w:id="645475772">
                          <w:marLeft w:val="0"/>
                          <w:marRight w:val="0"/>
                          <w:marTop w:val="0"/>
                          <w:marBottom w:val="0"/>
                          <w:divBdr>
                            <w:top w:val="none" w:sz="0" w:space="0" w:color="auto"/>
                            <w:left w:val="none" w:sz="0" w:space="0" w:color="auto"/>
                            <w:bottom w:val="none" w:sz="0" w:space="0" w:color="auto"/>
                            <w:right w:val="none" w:sz="0" w:space="0" w:color="auto"/>
                          </w:divBdr>
                        </w:div>
                        <w:div w:id="209922112">
                          <w:marLeft w:val="0"/>
                          <w:marRight w:val="0"/>
                          <w:marTop w:val="0"/>
                          <w:marBottom w:val="0"/>
                          <w:divBdr>
                            <w:top w:val="none" w:sz="0" w:space="0" w:color="auto"/>
                            <w:left w:val="none" w:sz="0" w:space="0" w:color="auto"/>
                            <w:bottom w:val="none" w:sz="0" w:space="0" w:color="auto"/>
                            <w:right w:val="none" w:sz="0" w:space="0" w:color="auto"/>
                          </w:divBdr>
                        </w:div>
                        <w:div w:id="1068071298">
                          <w:marLeft w:val="0"/>
                          <w:marRight w:val="0"/>
                          <w:marTop w:val="0"/>
                          <w:marBottom w:val="0"/>
                          <w:divBdr>
                            <w:top w:val="none" w:sz="0" w:space="0" w:color="auto"/>
                            <w:left w:val="none" w:sz="0" w:space="0" w:color="auto"/>
                            <w:bottom w:val="none" w:sz="0" w:space="0" w:color="auto"/>
                            <w:right w:val="none" w:sz="0" w:space="0" w:color="auto"/>
                          </w:divBdr>
                        </w:div>
                        <w:div w:id="266281776">
                          <w:marLeft w:val="0"/>
                          <w:marRight w:val="0"/>
                          <w:marTop w:val="0"/>
                          <w:marBottom w:val="0"/>
                          <w:divBdr>
                            <w:top w:val="none" w:sz="0" w:space="0" w:color="auto"/>
                            <w:left w:val="none" w:sz="0" w:space="0" w:color="auto"/>
                            <w:bottom w:val="none" w:sz="0" w:space="0" w:color="auto"/>
                            <w:right w:val="none" w:sz="0" w:space="0" w:color="auto"/>
                          </w:divBdr>
                        </w:div>
                        <w:div w:id="105347691">
                          <w:marLeft w:val="0"/>
                          <w:marRight w:val="0"/>
                          <w:marTop w:val="0"/>
                          <w:marBottom w:val="0"/>
                          <w:divBdr>
                            <w:top w:val="none" w:sz="0" w:space="0" w:color="auto"/>
                            <w:left w:val="none" w:sz="0" w:space="0" w:color="auto"/>
                            <w:bottom w:val="none" w:sz="0" w:space="0" w:color="auto"/>
                            <w:right w:val="none" w:sz="0" w:space="0" w:color="auto"/>
                          </w:divBdr>
                        </w:div>
                        <w:div w:id="2435366">
                          <w:marLeft w:val="0"/>
                          <w:marRight w:val="0"/>
                          <w:marTop w:val="0"/>
                          <w:marBottom w:val="0"/>
                          <w:divBdr>
                            <w:top w:val="none" w:sz="0" w:space="0" w:color="auto"/>
                            <w:left w:val="none" w:sz="0" w:space="0" w:color="auto"/>
                            <w:bottom w:val="none" w:sz="0" w:space="0" w:color="auto"/>
                            <w:right w:val="none" w:sz="0" w:space="0" w:color="auto"/>
                          </w:divBdr>
                        </w:div>
                        <w:div w:id="796946775">
                          <w:marLeft w:val="0"/>
                          <w:marRight w:val="0"/>
                          <w:marTop w:val="0"/>
                          <w:marBottom w:val="0"/>
                          <w:divBdr>
                            <w:top w:val="none" w:sz="0" w:space="0" w:color="auto"/>
                            <w:left w:val="none" w:sz="0" w:space="0" w:color="auto"/>
                            <w:bottom w:val="none" w:sz="0" w:space="0" w:color="auto"/>
                            <w:right w:val="none" w:sz="0" w:space="0" w:color="auto"/>
                          </w:divBdr>
                        </w:div>
                        <w:div w:id="1241018712">
                          <w:marLeft w:val="0"/>
                          <w:marRight w:val="0"/>
                          <w:marTop w:val="0"/>
                          <w:marBottom w:val="0"/>
                          <w:divBdr>
                            <w:top w:val="none" w:sz="0" w:space="0" w:color="auto"/>
                            <w:left w:val="none" w:sz="0" w:space="0" w:color="auto"/>
                            <w:bottom w:val="none" w:sz="0" w:space="0" w:color="auto"/>
                            <w:right w:val="none" w:sz="0" w:space="0" w:color="auto"/>
                          </w:divBdr>
                        </w:div>
                        <w:div w:id="1559972765">
                          <w:marLeft w:val="0"/>
                          <w:marRight w:val="0"/>
                          <w:marTop w:val="0"/>
                          <w:marBottom w:val="0"/>
                          <w:divBdr>
                            <w:top w:val="none" w:sz="0" w:space="0" w:color="auto"/>
                            <w:left w:val="none" w:sz="0" w:space="0" w:color="auto"/>
                            <w:bottom w:val="none" w:sz="0" w:space="0" w:color="auto"/>
                            <w:right w:val="none" w:sz="0" w:space="0" w:color="auto"/>
                          </w:divBdr>
                        </w:div>
                        <w:div w:id="1920095950">
                          <w:marLeft w:val="0"/>
                          <w:marRight w:val="0"/>
                          <w:marTop w:val="0"/>
                          <w:marBottom w:val="0"/>
                          <w:divBdr>
                            <w:top w:val="none" w:sz="0" w:space="0" w:color="auto"/>
                            <w:left w:val="none" w:sz="0" w:space="0" w:color="auto"/>
                            <w:bottom w:val="none" w:sz="0" w:space="0" w:color="auto"/>
                            <w:right w:val="none" w:sz="0" w:space="0" w:color="auto"/>
                          </w:divBdr>
                        </w:div>
                        <w:div w:id="744496552">
                          <w:marLeft w:val="0"/>
                          <w:marRight w:val="0"/>
                          <w:marTop w:val="0"/>
                          <w:marBottom w:val="0"/>
                          <w:divBdr>
                            <w:top w:val="none" w:sz="0" w:space="0" w:color="auto"/>
                            <w:left w:val="none" w:sz="0" w:space="0" w:color="auto"/>
                            <w:bottom w:val="none" w:sz="0" w:space="0" w:color="auto"/>
                            <w:right w:val="none" w:sz="0" w:space="0" w:color="auto"/>
                          </w:divBdr>
                        </w:div>
                        <w:div w:id="8863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379667">
                  <w:marLeft w:val="0"/>
                  <w:marRight w:val="0"/>
                  <w:marTop w:val="15"/>
                  <w:marBottom w:val="0"/>
                  <w:divBdr>
                    <w:top w:val="none" w:sz="0" w:space="0" w:color="auto"/>
                    <w:left w:val="none" w:sz="0" w:space="0" w:color="auto"/>
                    <w:bottom w:val="none" w:sz="0" w:space="0" w:color="auto"/>
                    <w:right w:val="none" w:sz="0" w:space="0" w:color="auto"/>
                  </w:divBdr>
                  <w:divsChild>
                    <w:div w:id="2102408572">
                      <w:marLeft w:val="0"/>
                      <w:marRight w:val="0"/>
                      <w:marTop w:val="0"/>
                      <w:marBottom w:val="0"/>
                      <w:divBdr>
                        <w:top w:val="none" w:sz="0" w:space="0" w:color="auto"/>
                        <w:left w:val="none" w:sz="0" w:space="0" w:color="auto"/>
                        <w:bottom w:val="none" w:sz="0" w:space="0" w:color="auto"/>
                        <w:right w:val="none" w:sz="0" w:space="0" w:color="auto"/>
                      </w:divBdr>
                      <w:divsChild>
                        <w:div w:id="317729565">
                          <w:marLeft w:val="0"/>
                          <w:marRight w:val="0"/>
                          <w:marTop w:val="0"/>
                          <w:marBottom w:val="0"/>
                          <w:divBdr>
                            <w:top w:val="none" w:sz="0" w:space="0" w:color="auto"/>
                            <w:left w:val="none" w:sz="0" w:space="0" w:color="auto"/>
                            <w:bottom w:val="none" w:sz="0" w:space="0" w:color="auto"/>
                            <w:right w:val="none" w:sz="0" w:space="0" w:color="auto"/>
                          </w:divBdr>
                        </w:div>
                        <w:div w:id="2062433386">
                          <w:marLeft w:val="0"/>
                          <w:marRight w:val="0"/>
                          <w:marTop w:val="0"/>
                          <w:marBottom w:val="0"/>
                          <w:divBdr>
                            <w:top w:val="none" w:sz="0" w:space="0" w:color="auto"/>
                            <w:left w:val="none" w:sz="0" w:space="0" w:color="auto"/>
                            <w:bottom w:val="none" w:sz="0" w:space="0" w:color="auto"/>
                            <w:right w:val="none" w:sz="0" w:space="0" w:color="auto"/>
                          </w:divBdr>
                        </w:div>
                        <w:div w:id="963996457">
                          <w:marLeft w:val="0"/>
                          <w:marRight w:val="0"/>
                          <w:marTop w:val="0"/>
                          <w:marBottom w:val="0"/>
                          <w:divBdr>
                            <w:top w:val="none" w:sz="0" w:space="0" w:color="auto"/>
                            <w:left w:val="none" w:sz="0" w:space="0" w:color="auto"/>
                            <w:bottom w:val="none" w:sz="0" w:space="0" w:color="auto"/>
                            <w:right w:val="none" w:sz="0" w:space="0" w:color="auto"/>
                          </w:divBdr>
                        </w:div>
                        <w:div w:id="1052272976">
                          <w:marLeft w:val="0"/>
                          <w:marRight w:val="0"/>
                          <w:marTop w:val="0"/>
                          <w:marBottom w:val="0"/>
                          <w:divBdr>
                            <w:top w:val="none" w:sz="0" w:space="0" w:color="auto"/>
                            <w:left w:val="none" w:sz="0" w:space="0" w:color="auto"/>
                            <w:bottom w:val="none" w:sz="0" w:space="0" w:color="auto"/>
                            <w:right w:val="none" w:sz="0" w:space="0" w:color="auto"/>
                          </w:divBdr>
                        </w:div>
                        <w:div w:id="1162966562">
                          <w:marLeft w:val="0"/>
                          <w:marRight w:val="0"/>
                          <w:marTop w:val="0"/>
                          <w:marBottom w:val="0"/>
                          <w:divBdr>
                            <w:top w:val="none" w:sz="0" w:space="0" w:color="auto"/>
                            <w:left w:val="none" w:sz="0" w:space="0" w:color="auto"/>
                            <w:bottom w:val="none" w:sz="0" w:space="0" w:color="auto"/>
                            <w:right w:val="none" w:sz="0" w:space="0" w:color="auto"/>
                          </w:divBdr>
                        </w:div>
                        <w:div w:id="715736232">
                          <w:marLeft w:val="0"/>
                          <w:marRight w:val="0"/>
                          <w:marTop w:val="0"/>
                          <w:marBottom w:val="0"/>
                          <w:divBdr>
                            <w:top w:val="none" w:sz="0" w:space="0" w:color="auto"/>
                            <w:left w:val="none" w:sz="0" w:space="0" w:color="auto"/>
                            <w:bottom w:val="none" w:sz="0" w:space="0" w:color="auto"/>
                            <w:right w:val="none" w:sz="0" w:space="0" w:color="auto"/>
                          </w:divBdr>
                        </w:div>
                        <w:div w:id="1787888119">
                          <w:marLeft w:val="0"/>
                          <w:marRight w:val="0"/>
                          <w:marTop w:val="0"/>
                          <w:marBottom w:val="0"/>
                          <w:divBdr>
                            <w:top w:val="none" w:sz="0" w:space="0" w:color="auto"/>
                            <w:left w:val="none" w:sz="0" w:space="0" w:color="auto"/>
                            <w:bottom w:val="none" w:sz="0" w:space="0" w:color="auto"/>
                            <w:right w:val="none" w:sz="0" w:space="0" w:color="auto"/>
                          </w:divBdr>
                        </w:div>
                        <w:div w:id="1883906779">
                          <w:marLeft w:val="0"/>
                          <w:marRight w:val="0"/>
                          <w:marTop w:val="0"/>
                          <w:marBottom w:val="0"/>
                          <w:divBdr>
                            <w:top w:val="none" w:sz="0" w:space="0" w:color="auto"/>
                            <w:left w:val="none" w:sz="0" w:space="0" w:color="auto"/>
                            <w:bottom w:val="none" w:sz="0" w:space="0" w:color="auto"/>
                            <w:right w:val="none" w:sz="0" w:space="0" w:color="auto"/>
                          </w:divBdr>
                        </w:div>
                        <w:div w:id="1149326352">
                          <w:marLeft w:val="0"/>
                          <w:marRight w:val="0"/>
                          <w:marTop w:val="0"/>
                          <w:marBottom w:val="0"/>
                          <w:divBdr>
                            <w:top w:val="none" w:sz="0" w:space="0" w:color="auto"/>
                            <w:left w:val="none" w:sz="0" w:space="0" w:color="auto"/>
                            <w:bottom w:val="none" w:sz="0" w:space="0" w:color="auto"/>
                            <w:right w:val="none" w:sz="0" w:space="0" w:color="auto"/>
                          </w:divBdr>
                        </w:div>
                        <w:div w:id="408576678">
                          <w:marLeft w:val="0"/>
                          <w:marRight w:val="0"/>
                          <w:marTop w:val="0"/>
                          <w:marBottom w:val="0"/>
                          <w:divBdr>
                            <w:top w:val="none" w:sz="0" w:space="0" w:color="auto"/>
                            <w:left w:val="none" w:sz="0" w:space="0" w:color="auto"/>
                            <w:bottom w:val="none" w:sz="0" w:space="0" w:color="auto"/>
                            <w:right w:val="none" w:sz="0" w:space="0" w:color="auto"/>
                          </w:divBdr>
                        </w:div>
                        <w:div w:id="533159300">
                          <w:marLeft w:val="0"/>
                          <w:marRight w:val="0"/>
                          <w:marTop w:val="0"/>
                          <w:marBottom w:val="0"/>
                          <w:divBdr>
                            <w:top w:val="none" w:sz="0" w:space="0" w:color="auto"/>
                            <w:left w:val="none" w:sz="0" w:space="0" w:color="auto"/>
                            <w:bottom w:val="none" w:sz="0" w:space="0" w:color="auto"/>
                            <w:right w:val="none" w:sz="0" w:space="0" w:color="auto"/>
                          </w:divBdr>
                        </w:div>
                        <w:div w:id="657811695">
                          <w:marLeft w:val="0"/>
                          <w:marRight w:val="0"/>
                          <w:marTop w:val="0"/>
                          <w:marBottom w:val="0"/>
                          <w:divBdr>
                            <w:top w:val="none" w:sz="0" w:space="0" w:color="auto"/>
                            <w:left w:val="none" w:sz="0" w:space="0" w:color="auto"/>
                            <w:bottom w:val="none" w:sz="0" w:space="0" w:color="auto"/>
                            <w:right w:val="none" w:sz="0" w:space="0" w:color="auto"/>
                          </w:divBdr>
                        </w:div>
                        <w:div w:id="807431955">
                          <w:marLeft w:val="0"/>
                          <w:marRight w:val="0"/>
                          <w:marTop w:val="0"/>
                          <w:marBottom w:val="0"/>
                          <w:divBdr>
                            <w:top w:val="none" w:sz="0" w:space="0" w:color="auto"/>
                            <w:left w:val="none" w:sz="0" w:space="0" w:color="auto"/>
                            <w:bottom w:val="none" w:sz="0" w:space="0" w:color="auto"/>
                            <w:right w:val="none" w:sz="0" w:space="0" w:color="auto"/>
                          </w:divBdr>
                        </w:div>
                        <w:div w:id="1332369528">
                          <w:marLeft w:val="0"/>
                          <w:marRight w:val="0"/>
                          <w:marTop w:val="0"/>
                          <w:marBottom w:val="0"/>
                          <w:divBdr>
                            <w:top w:val="none" w:sz="0" w:space="0" w:color="auto"/>
                            <w:left w:val="none" w:sz="0" w:space="0" w:color="auto"/>
                            <w:bottom w:val="none" w:sz="0" w:space="0" w:color="auto"/>
                            <w:right w:val="none" w:sz="0" w:space="0" w:color="auto"/>
                          </w:divBdr>
                        </w:div>
                        <w:div w:id="124544590">
                          <w:marLeft w:val="0"/>
                          <w:marRight w:val="0"/>
                          <w:marTop w:val="0"/>
                          <w:marBottom w:val="0"/>
                          <w:divBdr>
                            <w:top w:val="none" w:sz="0" w:space="0" w:color="auto"/>
                            <w:left w:val="none" w:sz="0" w:space="0" w:color="auto"/>
                            <w:bottom w:val="none" w:sz="0" w:space="0" w:color="auto"/>
                            <w:right w:val="none" w:sz="0" w:space="0" w:color="auto"/>
                          </w:divBdr>
                        </w:div>
                        <w:div w:id="1395010739">
                          <w:marLeft w:val="0"/>
                          <w:marRight w:val="0"/>
                          <w:marTop w:val="0"/>
                          <w:marBottom w:val="0"/>
                          <w:divBdr>
                            <w:top w:val="none" w:sz="0" w:space="0" w:color="auto"/>
                            <w:left w:val="none" w:sz="0" w:space="0" w:color="auto"/>
                            <w:bottom w:val="none" w:sz="0" w:space="0" w:color="auto"/>
                            <w:right w:val="none" w:sz="0" w:space="0" w:color="auto"/>
                          </w:divBdr>
                        </w:div>
                        <w:div w:id="1679850435">
                          <w:marLeft w:val="0"/>
                          <w:marRight w:val="0"/>
                          <w:marTop w:val="0"/>
                          <w:marBottom w:val="0"/>
                          <w:divBdr>
                            <w:top w:val="none" w:sz="0" w:space="0" w:color="auto"/>
                            <w:left w:val="none" w:sz="0" w:space="0" w:color="auto"/>
                            <w:bottom w:val="none" w:sz="0" w:space="0" w:color="auto"/>
                            <w:right w:val="none" w:sz="0" w:space="0" w:color="auto"/>
                          </w:divBdr>
                        </w:div>
                        <w:div w:id="194200945">
                          <w:marLeft w:val="0"/>
                          <w:marRight w:val="0"/>
                          <w:marTop w:val="0"/>
                          <w:marBottom w:val="0"/>
                          <w:divBdr>
                            <w:top w:val="none" w:sz="0" w:space="0" w:color="auto"/>
                            <w:left w:val="none" w:sz="0" w:space="0" w:color="auto"/>
                            <w:bottom w:val="none" w:sz="0" w:space="0" w:color="auto"/>
                            <w:right w:val="none" w:sz="0" w:space="0" w:color="auto"/>
                          </w:divBdr>
                        </w:div>
                        <w:div w:id="442505275">
                          <w:marLeft w:val="0"/>
                          <w:marRight w:val="0"/>
                          <w:marTop w:val="0"/>
                          <w:marBottom w:val="0"/>
                          <w:divBdr>
                            <w:top w:val="none" w:sz="0" w:space="0" w:color="auto"/>
                            <w:left w:val="none" w:sz="0" w:space="0" w:color="auto"/>
                            <w:bottom w:val="none" w:sz="0" w:space="0" w:color="auto"/>
                            <w:right w:val="none" w:sz="0" w:space="0" w:color="auto"/>
                          </w:divBdr>
                        </w:div>
                        <w:div w:id="365060294">
                          <w:marLeft w:val="0"/>
                          <w:marRight w:val="0"/>
                          <w:marTop w:val="0"/>
                          <w:marBottom w:val="0"/>
                          <w:divBdr>
                            <w:top w:val="none" w:sz="0" w:space="0" w:color="auto"/>
                            <w:left w:val="none" w:sz="0" w:space="0" w:color="auto"/>
                            <w:bottom w:val="none" w:sz="0" w:space="0" w:color="auto"/>
                            <w:right w:val="none" w:sz="0" w:space="0" w:color="auto"/>
                          </w:divBdr>
                        </w:div>
                        <w:div w:id="845822401">
                          <w:marLeft w:val="0"/>
                          <w:marRight w:val="0"/>
                          <w:marTop w:val="0"/>
                          <w:marBottom w:val="0"/>
                          <w:divBdr>
                            <w:top w:val="none" w:sz="0" w:space="0" w:color="auto"/>
                            <w:left w:val="none" w:sz="0" w:space="0" w:color="auto"/>
                            <w:bottom w:val="none" w:sz="0" w:space="0" w:color="auto"/>
                            <w:right w:val="none" w:sz="0" w:space="0" w:color="auto"/>
                          </w:divBdr>
                        </w:div>
                        <w:div w:id="964895578">
                          <w:marLeft w:val="0"/>
                          <w:marRight w:val="0"/>
                          <w:marTop w:val="0"/>
                          <w:marBottom w:val="0"/>
                          <w:divBdr>
                            <w:top w:val="none" w:sz="0" w:space="0" w:color="auto"/>
                            <w:left w:val="none" w:sz="0" w:space="0" w:color="auto"/>
                            <w:bottom w:val="none" w:sz="0" w:space="0" w:color="auto"/>
                            <w:right w:val="none" w:sz="0" w:space="0" w:color="auto"/>
                          </w:divBdr>
                        </w:div>
                        <w:div w:id="1451168013">
                          <w:marLeft w:val="0"/>
                          <w:marRight w:val="0"/>
                          <w:marTop w:val="0"/>
                          <w:marBottom w:val="0"/>
                          <w:divBdr>
                            <w:top w:val="none" w:sz="0" w:space="0" w:color="auto"/>
                            <w:left w:val="none" w:sz="0" w:space="0" w:color="auto"/>
                            <w:bottom w:val="none" w:sz="0" w:space="0" w:color="auto"/>
                            <w:right w:val="none" w:sz="0" w:space="0" w:color="auto"/>
                          </w:divBdr>
                        </w:div>
                        <w:div w:id="799230709">
                          <w:marLeft w:val="0"/>
                          <w:marRight w:val="0"/>
                          <w:marTop w:val="0"/>
                          <w:marBottom w:val="0"/>
                          <w:divBdr>
                            <w:top w:val="none" w:sz="0" w:space="0" w:color="auto"/>
                            <w:left w:val="none" w:sz="0" w:space="0" w:color="auto"/>
                            <w:bottom w:val="none" w:sz="0" w:space="0" w:color="auto"/>
                            <w:right w:val="none" w:sz="0" w:space="0" w:color="auto"/>
                          </w:divBdr>
                        </w:div>
                        <w:div w:id="651181105">
                          <w:marLeft w:val="0"/>
                          <w:marRight w:val="0"/>
                          <w:marTop w:val="0"/>
                          <w:marBottom w:val="0"/>
                          <w:divBdr>
                            <w:top w:val="none" w:sz="0" w:space="0" w:color="auto"/>
                            <w:left w:val="none" w:sz="0" w:space="0" w:color="auto"/>
                            <w:bottom w:val="none" w:sz="0" w:space="0" w:color="auto"/>
                            <w:right w:val="none" w:sz="0" w:space="0" w:color="auto"/>
                          </w:divBdr>
                        </w:div>
                        <w:div w:id="1106773537">
                          <w:marLeft w:val="0"/>
                          <w:marRight w:val="0"/>
                          <w:marTop w:val="0"/>
                          <w:marBottom w:val="0"/>
                          <w:divBdr>
                            <w:top w:val="none" w:sz="0" w:space="0" w:color="auto"/>
                            <w:left w:val="none" w:sz="0" w:space="0" w:color="auto"/>
                            <w:bottom w:val="none" w:sz="0" w:space="0" w:color="auto"/>
                            <w:right w:val="none" w:sz="0" w:space="0" w:color="auto"/>
                          </w:divBdr>
                        </w:div>
                        <w:div w:id="684595082">
                          <w:marLeft w:val="0"/>
                          <w:marRight w:val="0"/>
                          <w:marTop w:val="0"/>
                          <w:marBottom w:val="0"/>
                          <w:divBdr>
                            <w:top w:val="none" w:sz="0" w:space="0" w:color="auto"/>
                            <w:left w:val="none" w:sz="0" w:space="0" w:color="auto"/>
                            <w:bottom w:val="none" w:sz="0" w:space="0" w:color="auto"/>
                            <w:right w:val="none" w:sz="0" w:space="0" w:color="auto"/>
                          </w:divBdr>
                        </w:div>
                        <w:div w:id="98570733">
                          <w:marLeft w:val="0"/>
                          <w:marRight w:val="0"/>
                          <w:marTop w:val="0"/>
                          <w:marBottom w:val="0"/>
                          <w:divBdr>
                            <w:top w:val="none" w:sz="0" w:space="0" w:color="auto"/>
                            <w:left w:val="none" w:sz="0" w:space="0" w:color="auto"/>
                            <w:bottom w:val="none" w:sz="0" w:space="0" w:color="auto"/>
                            <w:right w:val="none" w:sz="0" w:space="0" w:color="auto"/>
                          </w:divBdr>
                        </w:div>
                        <w:div w:id="1318221746">
                          <w:marLeft w:val="0"/>
                          <w:marRight w:val="0"/>
                          <w:marTop w:val="0"/>
                          <w:marBottom w:val="0"/>
                          <w:divBdr>
                            <w:top w:val="none" w:sz="0" w:space="0" w:color="auto"/>
                            <w:left w:val="none" w:sz="0" w:space="0" w:color="auto"/>
                            <w:bottom w:val="none" w:sz="0" w:space="0" w:color="auto"/>
                            <w:right w:val="none" w:sz="0" w:space="0" w:color="auto"/>
                          </w:divBdr>
                        </w:div>
                        <w:div w:id="643243257">
                          <w:marLeft w:val="0"/>
                          <w:marRight w:val="0"/>
                          <w:marTop w:val="0"/>
                          <w:marBottom w:val="0"/>
                          <w:divBdr>
                            <w:top w:val="none" w:sz="0" w:space="0" w:color="auto"/>
                            <w:left w:val="none" w:sz="0" w:space="0" w:color="auto"/>
                            <w:bottom w:val="none" w:sz="0" w:space="0" w:color="auto"/>
                            <w:right w:val="none" w:sz="0" w:space="0" w:color="auto"/>
                          </w:divBdr>
                        </w:div>
                        <w:div w:id="76949140">
                          <w:marLeft w:val="0"/>
                          <w:marRight w:val="0"/>
                          <w:marTop w:val="0"/>
                          <w:marBottom w:val="0"/>
                          <w:divBdr>
                            <w:top w:val="none" w:sz="0" w:space="0" w:color="auto"/>
                            <w:left w:val="none" w:sz="0" w:space="0" w:color="auto"/>
                            <w:bottom w:val="none" w:sz="0" w:space="0" w:color="auto"/>
                            <w:right w:val="none" w:sz="0" w:space="0" w:color="auto"/>
                          </w:divBdr>
                        </w:div>
                        <w:div w:id="159393550">
                          <w:marLeft w:val="0"/>
                          <w:marRight w:val="0"/>
                          <w:marTop w:val="0"/>
                          <w:marBottom w:val="0"/>
                          <w:divBdr>
                            <w:top w:val="none" w:sz="0" w:space="0" w:color="auto"/>
                            <w:left w:val="none" w:sz="0" w:space="0" w:color="auto"/>
                            <w:bottom w:val="none" w:sz="0" w:space="0" w:color="auto"/>
                            <w:right w:val="none" w:sz="0" w:space="0" w:color="auto"/>
                          </w:divBdr>
                        </w:div>
                        <w:div w:id="1469591170">
                          <w:marLeft w:val="0"/>
                          <w:marRight w:val="0"/>
                          <w:marTop w:val="0"/>
                          <w:marBottom w:val="0"/>
                          <w:divBdr>
                            <w:top w:val="none" w:sz="0" w:space="0" w:color="auto"/>
                            <w:left w:val="none" w:sz="0" w:space="0" w:color="auto"/>
                            <w:bottom w:val="none" w:sz="0" w:space="0" w:color="auto"/>
                            <w:right w:val="none" w:sz="0" w:space="0" w:color="auto"/>
                          </w:divBdr>
                        </w:div>
                        <w:div w:id="906184383">
                          <w:marLeft w:val="0"/>
                          <w:marRight w:val="0"/>
                          <w:marTop w:val="0"/>
                          <w:marBottom w:val="0"/>
                          <w:divBdr>
                            <w:top w:val="none" w:sz="0" w:space="0" w:color="auto"/>
                            <w:left w:val="none" w:sz="0" w:space="0" w:color="auto"/>
                            <w:bottom w:val="none" w:sz="0" w:space="0" w:color="auto"/>
                            <w:right w:val="none" w:sz="0" w:space="0" w:color="auto"/>
                          </w:divBdr>
                        </w:div>
                        <w:div w:id="977107402">
                          <w:marLeft w:val="0"/>
                          <w:marRight w:val="0"/>
                          <w:marTop w:val="0"/>
                          <w:marBottom w:val="0"/>
                          <w:divBdr>
                            <w:top w:val="none" w:sz="0" w:space="0" w:color="auto"/>
                            <w:left w:val="none" w:sz="0" w:space="0" w:color="auto"/>
                            <w:bottom w:val="none" w:sz="0" w:space="0" w:color="auto"/>
                            <w:right w:val="none" w:sz="0" w:space="0" w:color="auto"/>
                          </w:divBdr>
                        </w:div>
                        <w:div w:id="1466436234">
                          <w:marLeft w:val="0"/>
                          <w:marRight w:val="0"/>
                          <w:marTop w:val="0"/>
                          <w:marBottom w:val="0"/>
                          <w:divBdr>
                            <w:top w:val="none" w:sz="0" w:space="0" w:color="auto"/>
                            <w:left w:val="none" w:sz="0" w:space="0" w:color="auto"/>
                            <w:bottom w:val="none" w:sz="0" w:space="0" w:color="auto"/>
                            <w:right w:val="none" w:sz="0" w:space="0" w:color="auto"/>
                          </w:divBdr>
                        </w:div>
                        <w:div w:id="1501508083">
                          <w:marLeft w:val="0"/>
                          <w:marRight w:val="0"/>
                          <w:marTop w:val="0"/>
                          <w:marBottom w:val="0"/>
                          <w:divBdr>
                            <w:top w:val="none" w:sz="0" w:space="0" w:color="auto"/>
                            <w:left w:val="none" w:sz="0" w:space="0" w:color="auto"/>
                            <w:bottom w:val="none" w:sz="0" w:space="0" w:color="auto"/>
                            <w:right w:val="none" w:sz="0" w:space="0" w:color="auto"/>
                          </w:divBdr>
                        </w:div>
                        <w:div w:id="1024667941">
                          <w:marLeft w:val="0"/>
                          <w:marRight w:val="0"/>
                          <w:marTop w:val="0"/>
                          <w:marBottom w:val="0"/>
                          <w:divBdr>
                            <w:top w:val="none" w:sz="0" w:space="0" w:color="auto"/>
                            <w:left w:val="none" w:sz="0" w:space="0" w:color="auto"/>
                            <w:bottom w:val="none" w:sz="0" w:space="0" w:color="auto"/>
                            <w:right w:val="none" w:sz="0" w:space="0" w:color="auto"/>
                          </w:divBdr>
                        </w:div>
                        <w:div w:id="1757362472">
                          <w:marLeft w:val="0"/>
                          <w:marRight w:val="0"/>
                          <w:marTop w:val="0"/>
                          <w:marBottom w:val="0"/>
                          <w:divBdr>
                            <w:top w:val="none" w:sz="0" w:space="0" w:color="auto"/>
                            <w:left w:val="none" w:sz="0" w:space="0" w:color="auto"/>
                            <w:bottom w:val="none" w:sz="0" w:space="0" w:color="auto"/>
                            <w:right w:val="none" w:sz="0" w:space="0" w:color="auto"/>
                          </w:divBdr>
                        </w:div>
                        <w:div w:id="1311397076">
                          <w:marLeft w:val="0"/>
                          <w:marRight w:val="0"/>
                          <w:marTop w:val="0"/>
                          <w:marBottom w:val="0"/>
                          <w:divBdr>
                            <w:top w:val="none" w:sz="0" w:space="0" w:color="auto"/>
                            <w:left w:val="none" w:sz="0" w:space="0" w:color="auto"/>
                            <w:bottom w:val="none" w:sz="0" w:space="0" w:color="auto"/>
                            <w:right w:val="none" w:sz="0" w:space="0" w:color="auto"/>
                          </w:divBdr>
                        </w:div>
                        <w:div w:id="2043163006">
                          <w:marLeft w:val="0"/>
                          <w:marRight w:val="0"/>
                          <w:marTop w:val="0"/>
                          <w:marBottom w:val="0"/>
                          <w:divBdr>
                            <w:top w:val="none" w:sz="0" w:space="0" w:color="auto"/>
                            <w:left w:val="none" w:sz="0" w:space="0" w:color="auto"/>
                            <w:bottom w:val="none" w:sz="0" w:space="0" w:color="auto"/>
                            <w:right w:val="none" w:sz="0" w:space="0" w:color="auto"/>
                          </w:divBdr>
                        </w:div>
                        <w:div w:id="1299611549">
                          <w:marLeft w:val="0"/>
                          <w:marRight w:val="0"/>
                          <w:marTop w:val="0"/>
                          <w:marBottom w:val="0"/>
                          <w:divBdr>
                            <w:top w:val="none" w:sz="0" w:space="0" w:color="auto"/>
                            <w:left w:val="none" w:sz="0" w:space="0" w:color="auto"/>
                            <w:bottom w:val="none" w:sz="0" w:space="0" w:color="auto"/>
                            <w:right w:val="none" w:sz="0" w:space="0" w:color="auto"/>
                          </w:divBdr>
                        </w:div>
                        <w:div w:id="1629121534">
                          <w:marLeft w:val="0"/>
                          <w:marRight w:val="0"/>
                          <w:marTop w:val="0"/>
                          <w:marBottom w:val="0"/>
                          <w:divBdr>
                            <w:top w:val="none" w:sz="0" w:space="0" w:color="auto"/>
                            <w:left w:val="none" w:sz="0" w:space="0" w:color="auto"/>
                            <w:bottom w:val="none" w:sz="0" w:space="0" w:color="auto"/>
                            <w:right w:val="none" w:sz="0" w:space="0" w:color="auto"/>
                          </w:divBdr>
                        </w:div>
                        <w:div w:id="290867463">
                          <w:marLeft w:val="0"/>
                          <w:marRight w:val="0"/>
                          <w:marTop w:val="0"/>
                          <w:marBottom w:val="0"/>
                          <w:divBdr>
                            <w:top w:val="none" w:sz="0" w:space="0" w:color="auto"/>
                            <w:left w:val="none" w:sz="0" w:space="0" w:color="auto"/>
                            <w:bottom w:val="none" w:sz="0" w:space="0" w:color="auto"/>
                            <w:right w:val="none" w:sz="0" w:space="0" w:color="auto"/>
                          </w:divBdr>
                        </w:div>
                        <w:div w:id="580287115">
                          <w:marLeft w:val="0"/>
                          <w:marRight w:val="0"/>
                          <w:marTop w:val="0"/>
                          <w:marBottom w:val="0"/>
                          <w:divBdr>
                            <w:top w:val="none" w:sz="0" w:space="0" w:color="auto"/>
                            <w:left w:val="none" w:sz="0" w:space="0" w:color="auto"/>
                            <w:bottom w:val="none" w:sz="0" w:space="0" w:color="auto"/>
                            <w:right w:val="none" w:sz="0" w:space="0" w:color="auto"/>
                          </w:divBdr>
                        </w:div>
                        <w:div w:id="1256014659">
                          <w:marLeft w:val="0"/>
                          <w:marRight w:val="0"/>
                          <w:marTop w:val="0"/>
                          <w:marBottom w:val="0"/>
                          <w:divBdr>
                            <w:top w:val="none" w:sz="0" w:space="0" w:color="auto"/>
                            <w:left w:val="none" w:sz="0" w:space="0" w:color="auto"/>
                            <w:bottom w:val="none" w:sz="0" w:space="0" w:color="auto"/>
                            <w:right w:val="none" w:sz="0" w:space="0" w:color="auto"/>
                          </w:divBdr>
                        </w:div>
                        <w:div w:id="63458444">
                          <w:marLeft w:val="0"/>
                          <w:marRight w:val="0"/>
                          <w:marTop w:val="0"/>
                          <w:marBottom w:val="0"/>
                          <w:divBdr>
                            <w:top w:val="none" w:sz="0" w:space="0" w:color="auto"/>
                            <w:left w:val="none" w:sz="0" w:space="0" w:color="auto"/>
                            <w:bottom w:val="none" w:sz="0" w:space="0" w:color="auto"/>
                            <w:right w:val="none" w:sz="0" w:space="0" w:color="auto"/>
                          </w:divBdr>
                        </w:div>
                        <w:div w:id="922449498">
                          <w:marLeft w:val="0"/>
                          <w:marRight w:val="0"/>
                          <w:marTop w:val="0"/>
                          <w:marBottom w:val="0"/>
                          <w:divBdr>
                            <w:top w:val="none" w:sz="0" w:space="0" w:color="auto"/>
                            <w:left w:val="none" w:sz="0" w:space="0" w:color="auto"/>
                            <w:bottom w:val="none" w:sz="0" w:space="0" w:color="auto"/>
                            <w:right w:val="none" w:sz="0" w:space="0" w:color="auto"/>
                          </w:divBdr>
                        </w:div>
                        <w:div w:id="2104721013">
                          <w:marLeft w:val="0"/>
                          <w:marRight w:val="0"/>
                          <w:marTop w:val="0"/>
                          <w:marBottom w:val="0"/>
                          <w:divBdr>
                            <w:top w:val="none" w:sz="0" w:space="0" w:color="auto"/>
                            <w:left w:val="none" w:sz="0" w:space="0" w:color="auto"/>
                            <w:bottom w:val="none" w:sz="0" w:space="0" w:color="auto"/>
                            <w:right w:val="none" w:sz="0" w:space="0" w:color="auto"/>
                          </w:divBdr>
                        </w:div>
                        <w:div w:id="1936861380">
                          <w:marLeft w:val="0"/>
                          <w:marRight w:val="0"/>
                          <w:marTop w:val="0"/>
                          <w:marBottom w:val="0"/>
                          <w:divBdr>
                            <w:top w:val="none" w:sz="0" w:space="0" w:color="auto"/>
                            <w:left w:val="none" w:sz="0" w:space="0" w:color="auto"/>
                            <w:bottom w:val="none" w:sz="0" w:space="0" w:color="auto"/>
                            <w:right w:val="none" w:sz="0" w:space="0" w:color="auto"/>
                          </w:divBdr>
                        </w:div>
                        <w:div w:id="1976060397">
                          <w:marLeft w:val="0"/>
                          <w:marRight w:val="0"/>
                          <w:marTop w:val="0"/>
                          <w:marBottom w:val="0"/>
                          <w:divBdr>
                            <w:top w:val="none" w:sz="0" w:space="0" w:color="auto"/>
                            <w:left w:val="none" w:sz="0" w:space="0" w:color="auto"/>
                            <w:bottom w:val="none" w:sz="0" w:space="0" w:color="auto"/>
                            <w:right w:val="none" w:sz="0" w:space="0" w:color="auto"/>
                          </w:divBdr>
                        </w:div>
                        <w:div w:id="491607985">
                          <w:marLeft w:val="0"/>
                          <w:marRight w:val="0"/>
                          <w:marTop w:val="0"/>
                          <w:marBottom w:val="0"/>
                          <w:divBdr>
                            <w:top w:val="none" w:sz="0" w:space="0" w:color="auto"/>
                            <w:left w:val="none" w:sz="0" w:space="0" w:color="auto"/>
                            <w:bottom w:val="none" w:sz="0" w:space="0" w:color="auto"/>
                            <w:right w:val="none" w:sz="0" w:space="0" w:color="auto"/>
                          </w:divBdr>
                        </w:div>
                        <w:div w:id="1275020329">
                          <w:marLeft w:val="0"/>
                          <w:marRight w:val="0"/>
                          <w:marTop w:val="0"/>
                          <w:marBottom w:val="0"/>
                          <w:divBdr>
                            <w:top w:val="none" w:sz="0" w:space="0" w:color="auto"/>
                            <w:left w:val="none" w:sz="0" w:space="0" w:color="auto"/>
                            <w:bottom w:val="none" w:sz="0" w:space="0" w:color="auto"/>
                            <w:right w:val="none" w:sz="0" w:space="0" w:color="auto"/>
                          </w:divBdr>
                        </w:div>
                        <w:div w:id="78184695">
                          <w:marLeft w:val="0"/>
                          <w:marRight w:val="0"/>
                          <w:marTop w:val="0"/>
                          <w:marBottom w:val="0"/>
                          <w:divBdr>
                            <w:top w:val="none" w:sz="0" w:space="0" w:color="auto"/>
                            <w:left w:val="none" w:sz="0" w:space="0" w:color="auto"/>
                            <w:bottom w:val="none" w:sz="0" w:space="0" w:color="auto"/>
                            <w:right w:val="none" w:sz="0" w:space="0" w:color="auto"/>
                          </w:divBdr>
                        </w:div>
                        <w:div w:id="5333317">
                          <w:marLeft w:val="0"/>
                          <w:marRight w:val="0"/>
                          <w:marTop w:val="0"/>
                          <w:marBottom w:val="0"/>
                          <w:divBdr>
                            <w:top w:val="none" w:sz="0" w:space="0" w:color="auto"/>
                            <w:left w:val="none" w:sz="0" w:space="0" w:color="auto"/>
                            <w:bottom w:val="none" w:sz="0" w:space="0" w:color="auto"/>
                            <w:right w:val="none" w:sz="0" w:space="0" w:color="auto"/>
                          </w:divBdr>
                        </w:div>
                        <w:div w:id="1006051716">
                          <w:marLeft w:val="0"/>
                          <w:marRight w:val="0"/>
                          <w:marTop w:val="0"/>
                          <w:marBottom w:val="0"/>
                          <w:divBdr>
                            <w:top w:val="none" w:sz="0" w:space="0" w:color="auto"/>
                            <w:left w:val="none" w:sz="0" w:space="0" w:color="auto"/>
                            <w:bottom w:val="none" w:sz="0" w:space="0" w:color="auto"/>
                            <w:right w:val="none" w:sz="0" w:space="0" w:color="auto"/>
                          </w:divBdr>
                        </w:div>
                        <w:div w:id="1713770227">
                          <w:marLeft w:val="0"/>
                          <w:marRight w:val="0"/>
                          <w:marTop w:val="0"/>
                          <w:marBottom w:val="0"/>
                          <w:divBdr>
                            <w:top w:val="none" w:sz="0" w:space="0" w:color="auto"/>
                            <w:left w:val="none" w:sz="0" w:space="0" w:color="auto"/>
                            <w:bottom w:val="none" w:sz="0" w:space="0" w:color="auto"/>
                            <w:right w:val="none" w:sz="0" w:space="0" w:color="auto"/>
                          </w:divBdr>
                        </w:div>
                        <w:div w:id="235481713">
                          <w:marLeft w:val="0"/>
                          <w:marRight w:val="0"/>
                          <w:marTop w:val="0"/>
                          <w:marBottom w:val="0"/>
                          <w:divBdr>
                            <w:top w:val="none" w:sz="0" w:space="0" w:color="auto"/>
                            <w:left w:val="none" w:sz="0" w:space="0" w:color="auto"/>
                            <w:bottom w:val="none" w:sz="0" w:space="0" w:color="auto"/>
                            <w:right w:val="none" w:sz="0" w:space="0" w:color="auto"/>
                          </w:divBdr>
                        </w:div>
                        <w:div w:id="1183282227">
                          <w:marLeft w:val="0"/>
                          <w:marRight w:val="0"/>
                          <w:marTop w:val="0"/>
                          <w:marBottom w:val="0"/>
                          <w:divBdr>
                            <w:top w:val="none" w:sz="0" w:space="0" w:color="auto"/>
                            <w:left w:val="none" w:sz="0" w:space="0" w:color="auto"/>
                            <w:bottom w:val="none" w:sz="0" w:space="0" w:color="auto"/>
                            <w:right w:val="none" w:sz="0" w:space="0" w:color="auto"/>
                          </w:divBdr>
                        </w:div>
                        <w:div w:id="1875772354">
                          <w:marLeft w:val="0"/>
                          <w:marRight w:val="0"/>
                          <w:marTop w:val="0"/>
                          <w:marBottom w:val="0"/>
                          <w:divBdr>
                            <w:top w:val="none" w:sz="0" w:space="0" w:color="auto"/>
                            <w:left w:val="none" w:sz="0" w:space="0" w:color="auto"/>
                            <w:bottom w:val="none" w:sz="0" w:space="0" w:color="auto"/>
                            <w:right w:val="none" w:sz="0" w:space="0" w:color="auto"/>
                          </w:divBdr>
                        </w:div>
                        <w:div w:id="766390496">
                          <w:marLeft w:val="0"/>
                          <w:marRight w:val="0"/>
                          <w:marTop w:val="0"/>
                          <w:marBottom w:val="0"/>
                          <w:divBdr>
                            <w:top w:val="none" w:sz="0" w:space="0" w:color="auto"/>
                            <w:left w:val="none" w:sz="0" w:space="0" w:color="auto"/>
                            <w:bottom w:val="none" w:sz="0" w:space="0" w:color="auto"/>
                            <w:right w:val="none" w:sz="0" w:space="0" w:color="auto"/>
                          </w:divBdr>
                        </w:div>
                        <w:div w:id="533007424">
                          <w:marLeft w:val="0"/>
                          <w:marRight w:val="0"/>
                          <w:marTop w:val="0"/>
                          <w:marBottom w:val="0"/>
                          <w:divBdr>
                            <w:top w:val="none" w:sz="0" w:space="0" w:color="auto"/>
                            <w:left w:val="none" w:sz="0" w:space="0" w:color="auto"/>
                            <w:bottom w:val="none" w:sz="0" w:space="0" w:color="auto"/>
                            <w:right w:val="none" w:sz="0" w:space="0" w:color="auto"/>
                          </w:divBdr>
                        </w:div>
                        <w:div w:id="293147129">
                          <w:marLeft w:val="0"/>
                          <w:marRight w:val="0"/>
                          <w:marTop w:val="0"/>
                          <w:marBottom w:val="0"/>
                          <w:divBdr>
                            <w:top w:val="none" w:sz="0" w:space="0" w:color="auto"/>
                            <w:left w:val="none" w:sz="0" w:space="0" w:color="auto"/>
                            <w:bottom w:val="none" w:sz="0" w:space="0" w:color="auto"/>
                            <w:right w:val="none" w:sz="0" w:space="0" w:color="auto"/>
                          </w:divBdr>
                        </w:div>
                        <w:div w:id="286739013">
                          <w:marLeft w:val="0"/>
                          <w:marRight w:val="0"/>
                          <w:marTop w:val="0"/>
                          <w:marBottom w:val="0"/>
                          <w:divBdr>
                            <w:top w:val="none" w:sz="0" w:space="0" w:color="auto"/>
                            <w:left w:val="none" w:sz="0" w:space="0" w:color="auto"/>
                            <w:bottom w:val="none" w:sz="0" w:space="0" w:color="auto"/>
                            <w:right w:val="none" w:sz="0" w:space="0" w:color="auto"/>
                          </w:divBdr>
                        </w:div>
                        <w:div w:id="1291672600">
                          <w:marLeft w:val="0"/>
                          <w:marRight w:val="0"/>
                          <w:marTop w:val="0"/>
                          <w:marBottom w:val="0"/>
                          <w:divBdr>
                            <w:top w:val="none" w:sz="0" w:space="0" w:color="auto"/>
                            <w:left w:val="none" w:sz="0" w:space="0" w:color="auto"/>
                            <w:bottom w:val="none" w:sz="0" w:space="0" w:color="auto"/>
                            <w:right w:val="none" w:sz="0" w:space="0" w:color="auto"/>
                          </w:divBdr>
                        </w:div>
                        <w:div w:id="464734396">
                          <w:marLeft w:val="0"/>
                          <w:marRight w:val="0"/>
                          <w:marTop w:val="0"/>
                          <w:marBottom w:val="0"/>
                          <w:divBdr>
                            <w:top w:val="none" w:sz="0" w:space="0" w:color="auto"/>
                            <w:left w:val="none" w:sz="0" w:space="0" w:color="auto"/>
                            <w:bottom w:val="none" w:sz="0" w:space="0" w:color="auto"/>
                            <w:right w:val="none" w:sz="0" w:space="0" w:color="auto"/>
                          </w:divBdr>
                        </w:div>
                        <w:div w:id="2077580785">
                          <w:marLeft w:val="0"/>
                          <w:marRight w:val="0"/>
                          <w:marTop w:val="0"/>
                          <w:marBottom w:val="0"/>
                          <w:divBdr>
                            <w:top w:val="none" w:sz="0" w:space="0" w:color="auto"/>
                            <w:left w:val="none" w:sz="0" w:space="0" w:color="auto"/>
                            <w:bottom w:val="none" w:sz="0" w:space="0" w:color="auto"/>
                            <w:right w:val="none" w:sz="0" w:space="0" w:color="auto"/>
                          </w:divBdr>
                        </w:div>
                        <w:div w:id="32774401">
                          <w:marLeft w:val="0"/>
                          <w:marRight w:val="0"/>
                          <w:marTop w:val="0"/>
                          <w:marBottom w:val="0"/>
                          <w:divBdr>
                            <w:top w:val="none" w:sz="0" w:space="0" w:color="auto"/>
                            <w:left w:val="none" w:sz="0" w:space="0" w:color="auto"/>
                            <w:bottom w:val="none" w:sz="0" w:space="0" w:color="auto"/>
                            <w:right w:val="none" w:sz="0" w:space="0" w:color="auto"/>
                          </w:divBdr>
                        </w:div>
                        <w:div w:id="1153333513">
                          <w:marLeft w:val="0"/>
                          <w:marRight w:val="0"/>
                          <w:marTop w:val="0"/>
                          <w:marBottom w:val="0"/>
                          <w:divBdr>
                            <w:top w:val="none" w:sz="0" w:space="0" w:color="auto"/>
                            <w:left w:val="none" w:sz="0" w:space="0" w:color="auto"/>
                            <w:bottom w:val="none" w:sz="0" w:space="0" w:color="auto"/>
                            <w:right w:val="none" w:sz="0" w:space="0" w:color="auto"/>
                          </w:divBdr>
                        </w:div>
                        <w:div w:id="39524645">
                          <w:marLeft w:val="0"/>
                          <w:marRight w:val="0"/>
                          <w:marTop w:val="0"/>
                          <w:marBottom w:val="0"/>
                          <w:divBdr>
                            <w:top w:val="none" w:sz="0" w:space="0" w:color="auto"/>
                            <w:left w:val="none" w:sz="0" w:space="0" w:color="auto"/>
                            <w:bottom w:val="none" w:sz="0" w:space="0" w:color="auto"/>
                            <w:right w:val="none" w:sz="0" w:space="0" w:color="auto"/>
                          </w:divBdr>
                        </w:div>
                        <w:div w:id="900404336">
                          <w:marLeft w:val="0"/>
                          <w:marRight w:val="0"/>
                          <w:marTop w:val="0"/>
                          <w:marBottom w:val="0"/>
                          <w:divBdr>
                            <w:top w:val="none" w:sz="0" w:space="0" w:color="auto"/>
                            <w:left w:val="none" w:sz="0" w:space="0" w:color="auto"/>
                            <w:bottom w:val="none" w:sz="0" w:space="0" w:color="auto"/>
                            <w:right w:val="none" w:sz="0" w:space="0" w:color="auto"/>
                          </w:divBdr>
                        </w:div>
                        <w:div w:id="148644124">
                          <w:marLeft w:val="0"/>
                          <w:marRight w:val="0"/>
                          <w:marTop w:val="0"/>
                          <w:marBottom w:val="0"/>
                          <w:divBdr>
                            <w:top w:val="none" w:sz="0" w:space="0" w:color="auto"/>
                            <w:left w:val="none" w:sz="0" w:space="0" w:color="auto"/>
                            <w:bottom w:val="none" w:sz="0" w:space="0" w:color="auto"/>
                            <w:right w:val="none" w:sz="0" w:space="0" w:color="auto"/>
                          </w:divBdr>
                        </w:div>
                        <w:div w:id="1174422515">
                          <w:marLeft w:val="0"/>
                          <w:marRight w:val="0"/>
                          <w:marTop w:val="0"/>
                          <w:marBottom w:val="0"/>
                          <w:divBdr>
                            <w:top w:val="none" w:sz="0" w:space="0" w:color="auto"/>
                            <w:left w:val="none" w:sz="0" w:space="0" w:color="auto"/>
                            <w:bottom w:val="none" w:sz="0" w:space="0" w:color="auto"/>
                            <w:right w:val="none" w:sz="0" w:space="0" w:color="auto"/>
                          </w:divBdr>
                        </w:div>
                        <w:div w:id="1879662474">
                          <w:marLeft w:val="0"/>
                          <w:marRight w:val="0"/>
                          <w:marTop w:val="0"/>
                          <w:marBottom w:val="0"/>
                          <w:divBdr>
                            <w:top w:val="none" w:sz="0" w:space="0" w:color="auto"/>
                            <w:left w:val="none" w:sz="0" w:space="0" w:color="auto"/>
                            <w:bottom w:val="none" w:sz="0" w:space="0" w:color="auto"/>
                            <w:right w:val="none" w:sz="0" w:space="0" w:color="auto"/>
                          </w:divBdr>
                        </w:div>
                        <w:div w:id="1150827592">
                          <w:marLeft w:val="0"/>
                          <w:marRight w:val="0"/>
                          <w:marTop w:val="0"/>
                          <w:marBottom w:val="0"/>
                          <w:divBdr>
                            <w:top w:val="none" w:sz="0" w:space="0" w:color="auto"/>
                            <w:left w:val="none" w:sz="0" w:space="0" w:color="auto"/>
                            <w:bottom w:val="none" w:sz="0" w:space="0" w:color="auto"/>
                            <w:right w:val="none" w:sz="0" w:space="0" w:color="auto"/>
                          </w:divBdr>
                        </w:div>
                        <w:div w:id="511259426">
                          <w:marLeft w:val="0"/>
                          <w:marRight w:val="0"/>
                          <w:marTop w:val="0"/>
                          <w:marBottom w:val="0"/>
                          <w:divBdr>
                            <w:top w:val="none" w:sz="0" w:space="0" w:color="auto"/>
                            <w:left w:val="none" w:sz="0" w:space="0" w:color="auto"/>
                            <w:bottom w:val="none" w:sz="0" w:space="0" w:color="auto"/>
                            <w:right w:val="none" w:sz="0" w:space="0" w:color="auto"/>
                          </w:divBdr>
                        </w:div>
                        <w:div w:id="665091339">
                          <w:marLeft w:val="0"/>
                          <w:marRight w:val="0"/>
                          <w:marTop w:val="0"/>
                          <w:marBottom w:val="0"/>
                          <w:divBdr>
                            <w:top w:val="none" w:sz="0" w:space="0" w:color="auto"/>
                            <w:left w:val="none" w:sz="0" w:space="0" w:color="auto"/>
                            <w:bottom w:val="none" w:sz="0" w:space="0" w:color="auto"/>
                            <w:right w:val="none" w:sz="0" w:space="0" w:color="auto"/>
                          </w:divBdr>
                        </w:div>
                        <w:div w:id="1011105747">
                          <w:marLeft w:val="0"/>
                          <w:marRight w:val="0"/>
                          <w:marTop w:val="0"/>
                          <w:marBottom w:val="0"/>
                          <w:divBdr>
                            <w:top w:val="none" w:sz="0" w:space="0" w:color="auto"/>
                            <w:left w:val="none" w:sz="0" w:space="0" w:color="auto"/>
                            <w:bottom w:val="none" w:sz="0" w:space="0" w:color="auto"/>
                            <w:right w:val="none" w:sz="0" w:space="0" w:color="auto"/>
                          </w:divBdr>
                        </w:div>
                        <w:div w:id="493229622">
                          <w:marLeft w:val="0"/>
                          <w:marRight w:val="0"/>
                          <w:marTop w:val="0"/>
                          <w:marBottom w:val="0"/>
                          <w:divBdr>
                            <w:top w:val="none" w:sz="0" w:space="0" w:color="auto"/>
                            <w:left w:val="none" w:sz="0" w:space="0" w:color="auto"/>
                            <w:bottom w:val="none" w:sz="0" w:space="0" w:color="auto"/>
                            <w:right w:val="none" w:sz="0" w:space="0" w:color="auto"/>
                          </w:divBdr>
                        </w:div>
                        <w:div w:id="759446638">
                          <w:marLeft w:val="0"/>
                          <w:marRight w:val="0"/>
                          <w:marTop w:val="0"/>
                          <w:marBottom w:val="0"/>
                          <w:divBdr>
                            <w:top w:val="none" w:sz="0" w:space="0" w:color="auto"/>
                            <w:left w:val="none" w:sz="0" w:space="0" w:color="auto"/>
                            <w:bottom w:val="none" w:sz="0" w:space="0" w:color="auto"/>
                            <w:right w:val="none" w:sz="0" w:space="0" w:color="auto"/>
                          </w:divBdr>
                        </w:div>
                        <w:div w:id="1670449496">
                          <w:marLeft w:val="0"/>
                          <w:marRight w:val="0"/>
                          <w:marTop w:val="0"/>
                          <w:marBottom w:val="0"/>
                          <w:divBdr>
                            <w:top w:val="none" w:sz="0" w:space="0" w:color="auto"/>
                            <w:left w:val="none" w:sz="0" w:space="0" w:color="auto"/>
                            <w:bottom w:val="none" w:sz="0" w:space="0" w:color="auto"/>
                            <w:right w:val="none" w:sz="0" w:space="0" w:color="auto"/>
                          </w:divBdr>
                        </w:div>
                        <w:div w:id="55975043">
                          <w:marLeft w:val="0"/>
                          <w:marRight w:val="0"/>
                          <w:marTop w:val="0"/>
                          <w:marBottom w:val="0"/>
                          <w:divBdr>
                            <w:top w:val="none" w:sz="0" w:space="0" w:color="auto"/>
                            <w:left w:val="none" w:sz="0" w:space="0" w:color="auto"/>
                            <w:bottom w:val="none" w:sz="0" w:space="0" w:color="auto"/>
                            <w:right w:val="none" w:sz="0" w:space="0" w:color="auto"/>
                          </w:divBdr>
                        </w:div>
                        <w:div w:id="1897008679">
                          <w:marLeft w:val="0"/>
                          <w:marRight w:val="0"/>
                          <w:marTop w:val="0"/>
                          <w:marBottom w:val="0"/>
                          <w:divBdr>
                            <w:top w:val="none" w:sz="0" w:space="0" w:color="auto"/>
                            <w:left w:val="none" w:sz="0" w:space="0" w:color="auto"/>
                            <w:bottom w:val="none" w:sz="0" w:space="0" w:color="auto"/>
                            <w:right w:val="none" w:sz="0" w:space="0" w:color="auto"/>
                          </w:divBdr>
                        </w:div>
                        <w:div w:id="135421176">
                          <w:marLeft w:val="0"/>
                          <w:marRight w:val="0"/>
                          <w:marTop w:val="0"/>
                          <w:marBottom w:val="0"/>
                          <w:divBdr>
                            <w:top w:val="none" w:sz="0" w:space="0" w:color="auto"/>
                            <w:left w:val="none" w:sz="0" w:space="0" w:color="auto"/>
                            <w:bottom w:val="none" w:sz="0" w:space="0" w:color="auto"/>
                            <w:right w:val="none" w:sz="0" w:space="0" w:color="auto"/>
                          </w:divBdr>
                        </w:div>
                        <w:div w:id="1007098252">
                          <w:marLeft w:val="0"/>
                          <w:marRight w:val="0"/>
                          <w:marTop w:val="0"/>
                          <w:marBottom w:val="0"/>
                          <w:divBdr>
                            <w:top w:val="none" w:sz="0" w:space="0" w:color="auto"/>
                            <w:left w:val="none" w:sz="0" w:space="0" w:color="auto"/>
                            <w:bottom w:val="none" w:sz="0" w:space="0" w:color="auto"/>
                            <w:right w:val="none" w:sz="0" w:space="0" w:color="auto"/>
                          </w:divBdr>
                        </w:div>
                        <w:div w:id="740717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4987816">
      <w:bodyDiv w:val="1"/>
      <w:marLeft w:val="0"/>
      <w:marRight w:val="0"/>
      <w:marTop w:val="0"/>
      <w:marBottom w:val="0"/>
      <w:divBdr>
        <w:top w:val="none" w:sz="0" w:space="0" w:color="auto"/>
        <w:left w:val="none" w:sz="0" w:space="0" w:color="auto"/>
        <w:bottom w:val="none" w:sz="0" w:space="0" w:color="auto"/>
        <w:right w:val="none" w:sz="0" w:space="0" w:color="auto"/>
      </w:divBdr>
    </w:div>
    <w:div w:id="346058761">
      <w:bodyDiv w:val="1"/>
      <w:marLeft w:val="0"/>
      <w:marRight w:val="0"/>
      <w:marTop w:val="0"/>
      <w:marBottom w:val="0"/>
      <w:divBdr>
        <w:top w:val="none" w:sz="0" w:space="0" w:color="auto"/>
        <w:left w:val="none" w:sz="0" w:space="0" w:color="auto"/>
        <w:bottom w:val="none" w:sz="0" w:space="0" w:color="auto"/>
        <w:right w:val="none" w:sz="0" w:space="0" w:color="auto"/>
      </w:divBdr>
    </w:div>
    <w:div w:id="349963144">
      <w:bodyDiv w:val="1"/>
      <w:marLeft w:val="0"/>
      <w:marRight w:val="0"/>
      <w:marTop w:val="0"/>
      <w:marBottom w:val="0"/>
      <w:divBdr>
        <w:top w:val="none" w:sz="0" w:space="0" w:color="auto"/>
        <w:left w:val="none" w:sz="0" w:space="0" w:color="auto"/>
        <w:bottom w:val="none" w:sz="0" w:space="0" w:color="auto"/>
        <w:right w:val="none" w:sz="0" w:space="0" w:color="auto"/>
      </w:divBdr>
    </w:div>
    <w:div w:id="352074282">
      <w:bodyDiv w:val="1"/>
      <w:marLeft w:val="0"/>
      <w:marRight w:val="0"/>
      <w:marTop w:val="0"/>
      <w:marBottom w:val="0"/>
      <w:divBdr>
        <w:top w:val="none" w:sz="0" w:space="0" w:color="auto"/>
        <w:left w:val="none" w:sz="0" w:space="0" w:color="auto"/>
        <w:bottom w:val="none" w:sz="0" w:space="0" w:color="auto"/>
        <w:right w:val="none" w:sz="0" w:space="0" w:color="auto"/>
      </w:divBdr>
    </w:div>
    <w:div w:id="359940020">
      <w:bodyDiv w:val="1"/>
      <w:marLeft w:val="0"/>
      <w:marRight w:val="0"/>
      <w:marTop w:val="0"/>
      <w:marBottom w:val="0"/>
      <w:divBdr>
        <w:top w:val="none" w:sz="0" w:space="0" w:color="auto"/>
        <w:left w:val="none" w:sz="0" w:space="0" w:color="auto"/>
        <w:bottom w:val="none" w:sz="0" w:space="0" w:color="auto"/>
        <w:right w:val="none" w:sz="0" w:space="0" w:color="auto"/>
      </w:divBdr>
    </w:div>
    <w:div w:id="371613619">
      <w:bodyDiv w:val="1"/>
      <w:marLeft w:val="0"/>
      <w:marRight w:val="0"/>
      <w:marTop w:val="0"/>
      <w:marBottom w:val="0"/>
      <w:divBdr>
        <w:top w:val="none" w:sz="0" w:space="0" w:color="auto"/>
        <w:left w:val="none" w:sz="0" w:space="0" w:color="auto"/>
        <w:bottom w:val="none" w:sz="0" w:space="0" w:color="auto"/>
        <w:right w:val="none" w:sz="0" w:space="0" w:color="auto"/>
      </w:divBdr>
    </w:div>
    <w:div w:id="382339937">
      <w:bodyDiv w:val="1"/>
      <w:marLeft w:val="0"/>
      <w:marRight w:val="0"/>
      <w:marTop w:val="0"/>
      <w:marBottom w:val="0"/>
      <w:divBdr>
        <w:top w:val="none" w:sz="0" w:space="0" w:color="auto"/>
        <w:left w:val="none" w:sz="0" w:space="0" w:color="auto"/>
        <w:bottom w:val="none" w:sz="0" w:space="0" w:color="auto"/>
        <w:right w:val="none" w:sz="0" w:space="0" w:color="auto"/>
      </w:divBdr>
    </w:div>
    <w:div w:id="391388796">
      <w:bodyDiv w:val="1"/>
      <w:marLeft w:val="0"/>
      <w:marRight w:val="0"/>
      <w:marTop w:val="0"/>
      <w:marBottom w:val="0"/>
      <w:divBdr>
        <w:top w:val="none" w:sz="0" w:space="0" w:color="auto"/>
        <w:left w:val="none" w:sz="0" w:space="0" w:color="auto"/>
        <w:bottom w:val="none" w:sz="0" w:space="0" w:color="auto"/>
        <w:right w:val="none" w:sz="0" w:space="0" w:color="auto"/>
      </w:divBdr>
    </w:div>
    <w:div w:id="401566903">
      <w:bodyDiv w:val="1"/>
      <w:marLeft w:val="0"/>
      <w:marRight w:val="0"/>
      <w:marTop w:val="0"/>
      <w:marBottom w:val="0"/>
      <w:divBdr>
        <w:top w:val="none" w:sz="0" w:space="0" w:color="auto"/>
        <w:left w:val="none" w:sz="0" w:space="0" w:color="auto"/>
        <w:bottom w:val="none" w:sz="0" w:space="0" w:color="auto"/>
        <w:right w:val="none" w:sz="0" w:space="0" w:color="auto"/>
      </w:divBdr>
    </w:div>
    <w:div w:id="409546945">
      <w:bodyDiv w:val="1"/>
      <w:marLeft w:val="0"/>
      <w:marRight w:val="0"/>
      <w:marTop w:val="0"/>
      <w:marBottom w:val="0"/>
      <w:divBdr>
        <w:top w:val="none" w:sz="0" w:space="0" w:color="auto"/>
        <w:left w:val="none" w:sz="0" w:space="0" w:color="auto"/>
        <w:bottom w:val="none" w:sz="0" w:space="0" w:color="auto"/>
        <w:right w:val="none" w:sz="0" w:space="0" w:color="auto"/>
      </w:divBdr>
    </w:div>
    <w:div w:id="412122430">
      <w:bodyDiv w:val="1"/>
      <w:marLeft w:val="0"/>
      <w:marRight w:val="0"/>
      <w:marTop w:val="0"/>
      <w:marBottom w:val="0"/>
      <w:divBdr>
        <w:top w:val="none" w:sz="0" w:space="0" w:color="auto"/>
        <w:left w:val="none" w:sz="0" w:space="0" w:color="auto"/>
        <w:bottom w:val="none" w:sz="0" w:space="0" w:color="auto"/>
        <w:right w:val="none" w:sz="0" w:space="0" w:color="auto"/>
      </w:divBdr>
    </w:div>
    <w:div w:id="416441346">
      <w:bodyDiv w:val="1"/>
      <w:marLeft w:val="0"/>
      <w:marRight w:val="0"/>
      <w:marTop w:val="0"/>
      <w:marBottom w:val="0"/>
      <w:divBdr>
        <w:top w:val="none" w:sz="0" w:space="0" w:color="auto"/>
        <w:left w:val="none" w:sz="0" w:space="0" w:color="auto"/>
        <w:bottom w:val="none" w:sz="0" w:space="0" w:color="auto"/>
        <w:right w:val="none" w:sz="0" w:space="0" w:color="auto"/>
      </w:divBdr>
    </w:div>
    <w:div w:id="420764167">
      <w:bodyDiv w:val="1"/>
      <w:marLeft w:val="0"/>
      <w:marRight w:val="0"/>
      <w:marTop w:val="0"/>
      <w:marBottom w:val="0"/>
      <w:divBdr>
        <w:top w:val="none" w:sz="0" w:space="0" w:color="auto"/>
        <w:left w:val="none" w:sz="0" w:space="0" w:color="auto"/>
        <w:bottom w:val="none" w:sz="0" w:space="0" w:color="auto"/>
        <w:right w:val="none" w:sz="0" w:space="0" w:color="auto"/>
      </w:divBdr>
    </w:div>
    <w:div w:id="421146781">
      <w:bodyDiv w:val="1"/>
      <w:marLeft w:val="0"/>
      <w:marRight w:val="0"/>
      <w:marTop w:val="0"/>
      <w:marBottom w:val="0"/>
      <w:divBdr>
        <w:top w:val="none" w:sz="0" w:space="0" w:color="auto"/>
        <w:left w:val="none" w:sz="0" w:space="0" w:color="auto"/>
        <w:bottom w:val="none" w:sz="0" w:space="0" w:color="auto"/>
        <w:right w:val="none" w:sz="0" w:space="0" w:color="auto"/>
      </w:divBdr>
    </w:div>
    <w:div w:id="423919602">
      <w:bodyDiv w:val="1"/>
      <w:marLeft w:val="0"/>
      <w:marRight w:val="0"/>
      <w:marTop w:val="0"/>
      <w:marBottom w:val="0"/>
      <w:divBdr>
        <w:top w:val="none" w:sz="0" w:space="0" w:color="auto"/>
        <w:left w:val="none" w:sz="0" w:space="0" w:color="auto"/>
        <w:bottom w:val="none" w:sz="0" w:space="0" w:color="auto"/>
        <w:right w:val="none" w:sz="0" w:space="0" w:color="auto"/>
      </w:divBdr>
    </w:div>
    <w:div w:id="430200856">
      <w:bodyDiv w:val="1"/>
      <w:marLeft w:val="0"/>
      <w:marRight w:val="0"/>
      <w:marTop w:val="0"/>
      <w:marBottom w:val="0"/>
      <w:divBdr>
        <w:top w:val="none" w:sz="0" w:space="0" w:color="auto"/>
        <w:left w:val="none" w:sz="0" w:space="0" w:color="auto"/>
        <w:bottom w:val="none" w:sz="0" w:space="0" w:color="auto"/>
        <w:right w:val="none" w:sz="0" w:space="0" w:color="auto"/>
      </w:divBdr>
    </w:div>
    <w:div w:id="434635428">
      <w:bodyDiv w:val="1"/>
      <w:marLeft w:val="0"/>
      <w:marRight w:val="0"/>
      <w:marTop w:val="0"/>
      <w:marBottom w:val="0"/>
      <w:divBdr>
        <w:top w:val="none" w:sz="0" w:space="0" w:color="auto"/>
        <w:left w:val="none" w:sz="0" w:space="0" w:color="auto"/>
        <w:bottom w:val="none" w:sz="0" w:space="0" w:color="auto"/>
        <w:right w:val="none" w:sz="0" w:space="0" w:color="auto"/>
      </w:divBdr>
    </w:div>
    <w:div w:id="443115930">
      <w:bodyDiv w:val="1"/>
      <w:marLeft w:val="0"/>
      <w:marRight w:val="0"/>
      <w:marTop w:val="0"/>
      <w:marBottom w:val="0"/>
      <w:divBdr>
        <w:top w:val="none" w:sz="0" w:space="0" w:color="auto"/>
        <w:left w:val="none" w:sz="0" w:space="0" w:color="auto"/>
        <w:bottom w:val="none" w:sz="0" w:space="0" w:color="auto"/>
        <w:right w:val="none" w:sz="0" w:space="0" w:color="auto"/>
      </w:divBdr>
    </w:div>
    <w:div w:id="451706336">
      <w:bodyDiv w:val="1"/>
      <w:marLeft w:val="0"/>
      <w:marRight w:val="0"/>
      <w:marTop w:val="0"/>
      <w:marBottom w:val="0"/>
      <w:divBdr>
        <w:top w:val="none" w:sz="0" w:space="0" w:color="auto"/>
        <w:left w:val="none" w:sz="0" w:space="0" w:color="auto"/>
        <w:bottom w:val="none" w:sz="0" w:space="0" w:color="auto"/>
        <w:right w:val="none" w:sz="0" w:space="0" w:color="auto"/>
      </w:divBdr>
    </w:div>
    <w:div w:id="452864454">
      <w:bodyDiv w:val="1"/>
      <w:marLeft w:val="0"/>
      <w:marRight w:val="0"/>
      <w:marTop w:val="0"/>
      <w:marBottom w:val="0"/>
      <w:divBdr>
        <w:top w:val="none" w:sz="0" w:space="0" w:color="auto"/>
        <w:left w:val="none" w:sz="0" w:space="0" w:color="auto"/>
        <w:bottom w:val="none" w:sz="0" w:space="0" w:color="auto"/>
        <w:right w:val="none" w:sz="0" w:space="0" w:color="auto"/>
      </w:divBdr>
    </w:div>
    <w:div w:id="457377558">
      <w:bodyDiv w:val="1"/>
      <w:marLeft w:val="0"/>
      <w:marRight w:val="0"/>
      <w:marTop w:val="0"/>
      <w:marBottom w:val="0"/>
      <w:divBdr>
        <w:top w:val="none" w:sz="0" w:space="0" w:color="auto"/>
        <w:left w:val="none" w:sz="0" w:space="0" w:color="auto"/>
        <w:bottom w:val="none" w:sz="0" w:space="0" w:color="auto"/>
        <w:right w:val="none" w:sz="0" w:space="0" w:color="auto"/>
      </w:divBdr>
    </w:div>
    <w:div w:id="458378475">
      <w:bodyDiv w:val="1"/>
      <w:marLeft w:val="0"/>
      <w:marRight w:val="0"/>
      <w:marTop w:val="0"/>
      <w:marBottom w:val="0"/>
      <w:divBdr>
        <w:top w:val="none" w:sz="0" w:space="0" w:color="auto"/>
        <w:left w:val="none" w:sz="0" w:space="0" w:color="auto"/>
        <w:bottom w:val="none" w:sz="0" w:space="0" w:color="auto"/>
        <w:right w:val="none" w:sz="0" w:space="0" w:color="auto"/>
      </w:divBdr>
    </w:div>
    <w:div w:id="461582973">
      <w:bodyDiv w:val="1"/>
      <w:marLeft w:val="0"/>
      <w:marRight w:val="0"/>
      <w:marTop w:val="0"/>
      <w:marBottom w:val="0"/>
      <w:divBdr>
        <w:top w:val="none" w:sz="0" w:space="0" w:color="auto"/>
        <w:left w:val="none" w:sz="0" w:space="0" w:color="auto"/>
        <w:bottom w:val="none" w:sz="0" w:space="0" w:color="auto"/>
        <w:right w:val="none" w:sz="0" w:space="0" w:color="auto"/>
      </w:divBdr>
    </w:div>
    <w:div w:id="467625232">
      <w:bodyDiv w:val="1"/>
      <w:marLeft w:val="0"/>
      <w:marRight w:val="0"/>
      <w:marTop w:val="0"/>
      <w:marBottom w:val="0"/>
      <w:divBdr>
        <w:top w:val="none" w:sz="0" w:space="0" w:color="auto"/>
        <w:left w:val="none" w:sz="0" w:space="0" w:color="auto"/>
        <w:bottom w:val="none" w:sz="0" w:space="0" w:color="auto"/>
        <w:right w:val="none" w:sz="0" w:space="0" w:color="auto"/>
      </w:divBdr>
      <w:divsChild>
        <w:div w:id="2114010480">
          <w:marLeft w:val="0"/>
          <w:marRight w:val="0"/>
          <w:marTop w:val="0"/>
          <w:marBottom w:val="0"/>
          <w:divBdr>
            <w:top w:val="none" w:sz="0" w:space="0" w:color="auto"/>
            <w:left w:val="none" w:sz="0" w:space="0" w:color="auto"/>
            <w:bottom w:val="none" w:sz="0" w:space="0" w:color="auto"/>
            <w:right w:val="none" w:sz="0" w:space="0" w:color="auto"/>
          </w:divBdr>
        </w:div>
      </w:divsChild>
    </w:div>
    <w:div w:id="472719549">
      <w:bodyDiv w:val="1"/>
      <w:marLeft w:val="0"/>
      <w:marRight w:val="0"/>
      <w:marTop w:val="0"/>
      <w:marBottom w:val="0"/>
      <w:divBdr>
        <w:top w:val="none" w:sz="0" w:space="0" w:color="auto"/>
        <w:left w:val="none" w:sz="0" w:space="0" w:color="auto"/>
        <w:bottom w:val="none" w:sz="0" w:space="0" w:color="auto"/>
        <w:right w:val="none" w:sz="0" w:space="0" w:color="auto"/>
      </w:divBdr>
    </w:div>
    <w:div w:id="475336921">
      <w:bodyDiv w:val="1"/>
      <w:marLeft w:val="0"/>
      <w:marRight w:val="0"/>
      <w:marTop w:val="0"/>
      <w:marBottom w:val="0"/>
      <w:divBdr>
        <w:top w:val="none" w:sz="0" w:space="0" w:color="auto"/>
        <w:left w:val="none" w:sz="0" w:space="0" w:color="auto"/>
        <w:bottom w:val="none" w:sz="0" w:space="0" w:color="auto"/>
        <w:right w:val="none" w:sz="0" w:space="0" w:color="auto"/>
      </w:divBdr>
    </w:div>
    <w:div w:id="477846913">
      <w:bodyDiv w:val="1"/>
      <w:marLeft w:val="0"/>
      <w:marRight w:val="0"/>
      <w:marTop w:val="0"/>
      <w:marBottom w:val="0"/>
      <w:divBdr>
        <w:top w:val="none" w:sz="0" w:space="0" w:color="auto"/>
        <w:left w:val="none" w:sz="0" w:space="0" w:color="auto"/>
        <w:bottom w:val="none" w:sz="0" w:space="0" w:color="auto"/>
        <w:right w:val="none" w:sz="0" w:space="0" w:color="auto"/>
      </w:divBdr>
    </w:div>
    <w:div w:id="478039842">
      <w:bodyDiv w:val="1"/>
      <w:marLeft w:val="0"/>
      <w:marRight w:val="0"/>
      <w:marTop w:val="0"/>
      <w:marBottom w:val="0"/>
      <w:divBdr>
        <w:top w:val="none" w:sz="0" w:space="0" w:color="auto"/>
        <w:left w:val="none" w:sz="0" w:space="0" w:color="auto"/>
        <w:bottom w:val="none" w:sz="0" w:space="0" w:color="auto"/>
        <w:right w:val="none" w:sz="0" w:space="0" w:color="auto"/>
      </w:divBdr>
    </w:div>
    <w:div w:id="484199877">
      <w:bodyDiv w:val="1"/>
      <w:marLeft w:val="0"/>
      <w:marRight w:val="0"/>
      <w:marTop w:val="0"/>
      <w:marBottom w:val="0"/>
      <w:divBdr>
        <w:top w:val="none" w:sz="0" w:space="0" w:color="auto"/>
        <w:left w:val="none" w:sz="0" w:space="0" w:color="auto"/>
        <w:bottom w:val="none" w:sz="0" w:space="0" w:color="auto"/>
        <w:right w:val="none" w:sz="0" w:space="0" w:color="auto"/>
      </w:divBdr>
    </w:div>
    <w:div w:id="487406415">
      <w:bodyDiv w:val="1"/>
      <w:marLeft w:val="0"/>
      <w:marRight w:val="0"/>
      <w:marTop w:val="0"/>
      <w:marBottom w:val="0"/>
      <w:divBdr>
        <w:top w:val="none" w:sz="0" w:space="0" w:color="auto"/>
        <w:left w:val="none" w:sz="0" w:space="0" w:color="auto"/>
        <w:bottom w:val="none" w:sz="0" w:space="0" w:color="auto"/>
        <w:right w:val="none" w:sz="0" w:space="0" w:color="auto"/>
      </w:divBdr>
    </w:div>
    <w:div w:id="491877150">
      <w:bodyDiv w:val="1"/>
      <w:marLeft w:val="0"/>
      <w:marRight w:val="0"/>
      <w:marTop w:val="0"/>
      <w:marBottom w:val="0"/>
      <w:divBdr>
        <w:top w:val="none" w:sz="0" w:space="0" w:color="auto"/>
        <w:left w:val="none" w:sz="0" w:space="0" w:color="auto"/>
        <w:bottom w:val="none" w:sz="0" w:space="0" w:color="auto"/>
        <w:right w:val="none" w:sz="0" w:space="0" w:color="auto"/>
      </w:divBdr>
    </w:div>
    <w:div w:id="492724474">
      <w:bodyDiv w:val="1"/>
      <w:marLeft w:val="0"/>
      <w:marRight w:val="0"/>
      <w:marTop w:val="0"/>
      <w:marBottom w:val="0"/>
      <w:divBdr>
        <w:top w:val="none" w:sz="0" w:space="0" w:color="auto"/>
        <w:left w:val="none" w:sz="0" w:space="0" w:color="auto"/>
        <w:bottom w:val="none" w:sz="0" w:space="0" w:color="auto"/>
        <w:right w:val="none" w:sz="0" w:space="0" w:color="auto"/>
      </w:divBdr>
    </w:div>
    <w:div w:id="493762798">
      <w:bodyDiv w:val="1"/>
      <w:marLeft w:val="0"/>
      <w:marRight w:val="0"/>
      <w:marTop w:val="0"/>
      <w:marBottom w:val="0"/>
      <w:divBdr>
        <w:top w:val="none" w:sz="0" w:space="0" w:color="auto"/>
        <w:left w:val="none" w:sz="0" w:space="0" w:color="auto"/>
        <w:bottom w:val="none" w:sz="0" w:space="0" w:color="auto"/>
        <w:right w:val="none" w:sz="0" w:space="0" w:color="auto"/>
      </w:divBdr>
      <w:divsChild>
        <w:div w:id="449399322">
          <w:marLeft w:val="0"/>
          <w:marRight w:val="0"/>
          <w:marTop w:val="0"/>
          <w:marBottom w:val="0"/>
          <w:divBdr>
            <w:top w:val="none" w:sz="0" w:space="0" w:color="auto"/>
            <w:left w:val="none" w:sz="0" w:space="0" w:color="auto"/>
            <w:bottom w:val="none" w:sz="0" w:space="0" w:color="auto"/>
            <w:right w:val="none" w:sz="0" w:space="0" w:color="auto"/>
          </w:divBdr>
        </w:div>
        <w:div w:id="1406099961">
          <w:marLeft w:val="0"/>
          <w:marRight w:val="0"/>
          <w:marTop w:val="0"/>
          <w:marBottom w:val="0"/>
          <w:divBdr>
            <w:top w:val="none" w:sz="0" w:space="0" w:color="auto"/>
            <w:left w:val="none" w:sz="0" w:space="0" w:color="auto"/>
            <w:bottom w:val="none" w:sz="0" w:space="0" w:color="auto"/>
            <w:right w:val="none" w:sz="0" w:space="0" w:color="auto"/>
          </w:divBdr>
        </w:div>
        <w:div w:id="778061005">
          <w:marLeft w:val="0"/>
          <w:marRight w:val="0"/>
          <w:marTop w:val="0"/>
          <w:marBottom w:val="0"/>
          <w:divBdr>
            <w:top w:val="none" w:sz="0" w:space="0" w:color="auto"/>
            <w:left w:val="none" w:sz="0" w:space="0" w:color="auto"/>
            <w:bottom w:val="none" w:sz="0" w:space="0" w:color="auto"/>
            <w:right w:val="none" w:sz="0" w:space="0" w:color="auto"/>
          </w:divBdr>
        </w:div>
        <w:div w:id="228344989">
          <w:marLeft w:val="0"/>
          <w:marRight w:val="0"/>
          <w:marTop w:val="0"/>
          <w:marBottom w:val="0"/>
          <w:divBdr>
            <w:top w:val="none" w:sz="0" w:space="0" w:color="auto"/>
            <w:left w:val="none" w:sz="0" w:space="0" w:color="auto"/>
            <w:bottom w:val="none" w:sz="0" w:space="0" w:color="auto"/>
            <w:right w:val="none" w:sz="0" w:space="0" w:color="auto"/>
          </w:divBdr>
        </w:div>
        <w:div w:id="1635520180">
          <w:marLeft w:val="0"/>
          <w:marRight w:val="0"/>
          <w:marTop w:val="0"/>
          <w:marBottom w:val="0"/>
          <w:divBdr>
            <w:top w:val="none" w:sz="0" w:space="0" w:color="auto"/>
            <w:left w:val="none" w:sz="0" w:space="0" w:color="auto"/>
            <w:bottom w:val="none" w:sz="0" w:space="0" w:color="auto"/>
            <w:right w:val="none" w:sz="0" w:space="0" w:color="auto"/>
          </w:divBdr>
        </w:div>
        <w:div w:id="645476002">
          <w:marLeft w:val="0"/>
          <w:marRight w:val="0"/>
          <w:marTop w:val="0"/>
          <w:marBottom w:val="0"/>
          <w:divBdr>
            <w:top w:val="none" w:sz="0" w:space="0" w:color="auto"/>
            <w:left w:val="none" w:sz="0" w:space="0" w:color="auto"/>
            <w:bottom w:val="none" w:sz="0" w:space="0" w:color="auto"/>
            <w:right w:val="none" w:sz="0" w:space="0" w:color="auto"/>
          </w:divBdr>
        </w:div>
        <w:div w:id="157311528">
          <w:marLeft w:val="0"/>
          <w:marRight w:val="0"/>
          <w:marTop w:val="0"/>
          <w:marBottom w:val="0"/>
          <w:divBdr>
            <w:top w:val="none" w:sz="0" w:space="0" w:color="auto"/>
            <w:left w:val="none" w:sz="0" w:space="0" w:color="auto"/>
            <w:bottom w:val="none" w:sz="0" w:space="0" w:color="auto"/>
            <w:right w:val="none" w:sz="0" w:space="0" w:color="auto"/>
          </w:divBdr>
        </w:div>
        <w:div w:id="823159641">
          <w:marLeft w:val="0"/>
          <w:marRight w:val="0"/>
          <w:marTop w:val="0"/>
          <w:marBottom w:val="0"/>
          <w:divBdr>
            <w:top w:val="none" w:sz="0" w:space="0" w:color="auto"/>
            <w:left w:val="none" w:sz="0" w:space="0" w:color="auto"/>
            <w:bottom w:val="none" w:sz="0" w:space="0" w:color="auto"/>
            <w:right w:val="none" w:sz="0" w:space="0" w:color="auto"/>
          </w:divBdr>
        </w:div>
        <w:div w:id="1382898333">
          <w:marLeft w:val="0"/>
          <w:marRight w:val="0"/>
          <w:marTop w:val="0"/>
          <w:marBottom w:val="0"/>
          <w:divBdr>
            <w:top w:val="none" w:sz="0" w:space="0" w:color="auto"/>
            <w:left w:val="none" w:sz="0" w:space="0" w:color="auto"/>
            <w:bottom w:val="none" w:sz="0" w:space="0" w:color="auto"/>
            <w:right w:val="none" w:sz="0" w:space="0" w:color="auto"/>
          </w:divBdr>
        </w:div>
        <w:div w:id="1236625037">
          <w:marLeft w:val="0"/>
          <w:marRight w:val="0"/>
          <w:marTop w:val="0"/>
          <w:marBottom w:val="0"/>
          <w:divBdr>
            <w:top w:val="none" w:sz="0" w:space="0" w:color="auto"/>
            <w:left w:val="none" w:sz="0" w:space="0" w:color="auto"/>
            <w:bottom w:val="none" w:sz="0" w:space="0" w:color="auto"/>
            <w:right w:val="none" w:sz="0" w:space="0" w:color="auto"/>
          </w:divBdr>
        </w:div>
        <w:div w:id="1383872336">
          <w:marLeft w:val="0"/>
          <w:marRight w:val="0"/>
          <w:marTop w:val="0"/>
          <w:marBottom w:val="0"/>
          <w:divBdr>
            <w:top w:val="none" w:sz="0" w:space="0" w:color="auto"/>
            <w:left w:val="none" w:sz="0" w:space="0" w:color="auto"/>
            <w:bottom w:val="none" w:sz="0" w:space="0" w:color="auto"/>
            <w:right w:val="none" w:sz="0" w:space="0" w:color="auto"/>
          </w:divBdr>
        </w:div>
        <w:div w:id="283080766">
          <w:marLeft w:val="0"/>
          <w:marRight w:val="0"/>
          <w:marTop w:val="0"/>
          <w:marBottom w:val="0"/>
          <w:divBdr>
            <w:top w:val="none" w:sz="0" w:space="0" w:color="auto"/>
            <w:left w:val="none" w:sz="0" w:space="0" w:color="auto"/>
            <w:bottom w:val="none" w:sz="0" w:space="0" w:color="auto"/>
            <w:right w:val="none" w:sz="0" w:space="0" w:color="auto"/>
          </w:divBdr>
        </w:div>
        <w:div w:id="391318626">
          <w:marLeft w:val="0"/>
          <w:marRight w:val="0"/>
          <w:marTop w:val="0"/>
          <w:marBottom w:val="0"/>
          <w:divBdr>
            <w:top w:val="none" w:sz="0" w:space="0" w:color="auto"/>
            <w:left w:val="none" w:sz="0" w:space="0" w:color="auto"/>
            <w:bottom w:val="none" w:sz="0" w:space="0" w:color="auto"/>
            <w:right w:val="none" w:sz="0" w:space="0" w:color="auto"/>
          </w:divBdr>
        </w:div>
      </w:divsChild>
    </w:div>
    <w:div w:id="495465533">
      <w:bodyDiv w:val="1"/>
      <w:marLeft w:val="0"/>
      <w:marRight w:val="0"/>
      <w:marTop w:val="0"/>
      <w:marBottom w:val="0"/>
      <w:divBdr>
        <w:top w:val="none" w:sz="0" w:space="0" w:color="auto"/>
        <w:left w:val="none" w:sz="0" w:space="0" w:color="auto"/>
        <w:bottom w:val="none" w:sz="0" w:space="0" w:color="auto"/>
        <w:right w:val="none" w:sz="0" w:space="0" w:color="auto"/>
      </w:divBdr>
    </w:div>
    <w:div w:id="498618934">
      <w:bodyDiv w:val="1"/>
      <w:marLeft w:val="0"/>
      <w:marRight w:val="0"/>
      <w:marTop w:val="0"/>
      <w:marBottom w:val="0"/>
      <w:divBdr>
        <w:top w:val="none" w:sz="0" w:space="0" w:color="auto"/>
        <w:left w:val="none" w:sz="0" w:space="0" w:color="auto"/>
        <w:bottom w:val="none" w:sz="0" w:space="0" w:color="auto"/>
        <w:right w:val="none" w:sz="0" w:space="0" w:color="auto"/>
      </w:divBdr>
    </w:div>
    <w:div w:id="503738575">
      <w:bodyDiv w:val="1"/>
      <w:marLeft w:val="0"/>
      <w:marRight w:val="0"/>
      <w:marTop w:val="0"/>
      <w:marBottom w:val="0"/>
      <w:divBdr>
        <w:top w:val="none" w:sz="0" w:space="0" w:color="auto"/>
        <w:left w:val="none" w:sz="0" w:space="0" w:color="auto"/>
        <w:bottom w:val="none" w:sz="0" w:space="0" w:color="auto"/>
        <w:right w:val="none" w:sz="0" w:space="0" w:color="auto"/>
      </w:divBdr>
    </w:div>
    <w:div w:id="504059359">
      <w:bodyDiv w:val="1"/>
      <w:marLeft w:val="0"/>
      <w:marRight w:val="0"/>
      <w:marTop w:val="0"/>
      <w:marBottom w:val="0"/>
      <w:divBdr>
        <w:top w:val="none" w:sz="0" w:space="0" w:color="auto"/>
        <w:left w:val="none" w:sz="0" w:space="0" w:color="auto"/>
        <w:bottom w:val="none" w:sz="0" w:space="0" w:color="auto"/>
        <w:right w:val="none" w:sz="0" w:space="0" w:color="auto"/>
      </w:divBdr>
    </w:div>
    <w:div w:id="504367444">
      <w:bodyDiv w:val="1"/>
      <w:marLeft w:val="0"/>
      <w:marRight w:val="0"/>
      <w:marTop w:val="0"/>
      <w:marBottom w:val="0"/>
      <w:divBdr>
        <w:top w:val="none" w:sz="0" w:space="0" w:color="auto"/>
        <w:left w:val="none" w:sz="0" w:space="0" w:color="auto"/>
        <w:bottom w:val="none" w:sz="0" w:space="0" w:color="auto"/>
        <w:right w:val="none" w:sz="0" w:space="0" w:color="auto"/>
      </w:divBdr>
    </w:div>
    <w:div w:id="509488653">
      <w:bodyDiv w:val="1"/>
      <w:marLeft w:val="0"/>
      <w:marRight w:val="0"/>
      <w:marTop w:val="0"/>
      <w:marBottom w:val="0"/>
      <w:divBdr>
        <w:top w:val="none" w:sz="0" w:space="0" w:color="auto"/>
        <w:left w:val="none" w:sz="0" w:space="0" w:color="auto"/>
        <w:bottom w:val="none" w:sz="0" w:space="0" w:color="auto"/>
        <w:right w:val="none" w:sz="0" w:space="0" w:color="auto"/>
      </w:divBdr>
    </w:div>
    <w:div w:id="514809623">
      <w:bodyDiv w:val="1"/>
      <w:marLeft w:val="0"/>
      <w:marRight w:val="0"/>
      <w:marTop w:val="0"/>
      <w:marBottom w:val="0"/>
      <w:divBdr>
        <w:top w:val="none" w:sz="0" w:space="0" w:color="auto"/>
        <w:left w:val="none" w:sz="0" w:space="0" w:color="auto"/>
        <w:bottom w:val="none" w:sz="0" w:space="0" w:color="auto"/>
        <w:right w:val="none" w:sz="0" w:space="0" w:color="auto"/>
      </w:divBdr>
    </w:div>
    <w:div w:id="516044650">
      <w:bodyDiv w:val="1"/>
      <w:marLeft w:val="0"/>
      <w:marRight w:val="0"/>
      <w:marTop w:val="0"/>
      <w:marBottom w:val="0"/>
      <w:divBdr>
        <w:top w:val="none" w:sz="0" w:space="0" w:color="auto"/>
        <w:left w:val="none" w:sz="0" w:space="0" w:color="auto"/>
        <w:bottom w:val="none" w:sz="0" w:space="0" w:color="auto"/>
        <w:right w:val="none" w:sz="0" w:space="0" w:color="auto"/>
      </w:divBdr>
    </w:div>
    <w:div w:id="516887666">
      <w:bodyDiv w:val="1"/>
      <w:marLeft w:val="0"/>
      <w:marRight w:val="0"/>
      <w:marTop w:val="0"/>
      <w:marBottom w:val="0"/>
      <w:divBdr>
        <w:top w:val="none" w:sz="0" w:space="0" w:color="auto"/>
        <w:left w:val="none" w:sz="0" w:space="0" w:color="auto"/>
        <w:bottom w:val="none" w:sz="0" w:space="0" w:color="auto"/>
        <w:right w:val="none" w:sz="0" w:space="0" w:color="auto"/>
      </w:divBdr>
    </w:div>
    <w:div w:id="521936552">
      <w:bodyDiv w:val="1"/>
      <w:marLeft w:val="0"/>
      <w:marRight w:val="0"/>
      <w:marTop w:val="0"/>
      <w:marBottom w:val="0"/>
      <w:divBdr>
        <w:top w:val="none" w:sz="0" w:space="0" w:color="auto"/>
        <w:left w:val="none" w:sz="0" w:space="0" w:color="auto"/>
        <w:bottom w:val="none" w:sz="0" w:space="0" w:color="auto"/>
        <w:right w:val="none" w:sz="0" w:space="0" w:color="auto"/>
      </w:divBdr>
    </w:div>
    <w:div w:id="524442856">
      <w:bodyDiv w:val="1"/>
      <w:marLeft w:val="0"/>
      <w:marRight w:val="0"/>
      <w:marTop w:val="0"/>
      <w:marBottom w:val="0"/>
      <w:divBdr>
        <w:top w:val="none" w:sz="0" w:space="0" w:color="auto"/>
        <w:left w:val="none" w:sz="0" w:space="0" w:color="auto"/>
        <w:bottom w:val="none" w:sz="0" w:space="0" w:color="auto"/>
        <w:right w:val="none" w:sz="0" w:space="0" w:color="auto"/>
      </w:divBdr>
    </w:div>
    <w:div w:id="524902899">
      <w:bodyDiv w:val="1"/>
      <w:marLeft w:val="0"/>
      <w:marRight w:val="0"/>
      <w:marTop w:val="0"/>
      <w:marBottom w:val="0"/>
      <w:divBdr>
        <w:top w:val="none" w:sz="0" w:space="0" w:color="auto"/>
        <w:left w:val="none" w:sz="0" w:space="0" w:color="auto"/>
        <w:bottom w:val="none" w:sz="0" w:space="0" w:color="auto"/>
        <w:right w:val="none" w:sz="0" w:space="0" w:color="auto"/>
      </w:divBdr>
    </w:div>
    <w:div w:id="527958898">
      <w:bodyDiv w:val="1"/>
      <w:marLeft w:val="0"/>
      <w:marRight w:val="0"/>
      <w:marTop w:val="0"/>
      <w:marBottom w:val="0"/>
      <w:divBdr>
        <w:top w:val="none" w:sz="0" w:space="0" w:color="auto"/>
        <w:left w:val="none" w:sz="0" w:space="0" w:color="auto"/>
        <w:bottom w:val="none" w:sz="0" w:space="0" w:color="auto"/>
        <w:right w:val="none" w:sz="0" w:space="0" w:color="auto"/>
      </w:divBdr>
    </w:div>
    <w:div w:id="529143298">
      <w:bodyDiv w:val="1"/>
      <w:marLeft w:val="0"/>
      <w:marRight w:val="0"/>
      <w:marTop w:val="0"/>
      <w:marBottom w:val="0"/>
      <w:divBdr>
        <w:top w:val="none" w:sz="0" w:space="0" w:color="auto"/>
        <w:left w:val="none" w:sz="0" w:space="0" w:color="auto"/>
        <w:bottom w:val="none" w:sz="0" w:space="0" w:color="auto"/>
        <w:right w:val="none" w:sz="0" w:space="0" w:color="auto"/>
      </w:divBdr>
    </w:div>
    <w:div w:id="541022832">
      <w:bodyDiv w:val="1"/>
      <w:marLeft w:val="0"/>
      <w:marRight w:val="0"/>
      <w:marTop w:val="0"/>
      <w:marBottom w:val="0"/>
      <w:divBdr>
        <w:top w:val="none" w:sz="0" w:space="0" w:color="auto"/>
        <w:left w:val="none" w:sz="0" w:space="0" w:color="auto"/>
        <w:bottom w:val="none" w:sz="0" w:space="0" w:color="auto"/>
        <w:right w:val="none" w:sz="0" w:space="0" w:color="auto"/>
      </w:divBdr>
    </w:div>
    <w:div w:id="544022338">
      <w:bodyDiv w:val="1"/>
      <w:marLeft w:val="0"/>
      <w:marRight w:val="0"/>
      <w:marTop w:val="0"/>
      <w:marBottom w:val="0"/>
      <w:divBdr>
        <w:top w:val="none" w:sz="0" w:space="0" w:color="auto"/>
        <w:left w:val="none" w:sz="0" w:space="0" w:color="auto"/>
        <w:bottom w:val="none" w:sz="0" w:space="0" w:color="auto"/>
        <w:right w:val="none" w:sz="0" w:space="0" w:color="auto"/>
      </w:divBdr>
    </w:div>
    <w:div w:id="544685918">
      <w:bodyDiv w:val="1"/>
      <w:marLeft w:val="0"/>
      <w:marRight w:val="0"/>
      <w:marTop w:val="0"/>
      <w:marBottom w:val="0"/>
      <w:divBdr>
        <w:top w:val="none" w:sz="0" w:space="0" w:color="auto"/>
        <w:left w:val="none" w:sz="0" w:space="0" w:color="auto"/>
        <w:bottom w:val="none" w:sz="0" w:space="0" w:color="auto"/>
        <w:right w:val="none" w:sz="0" w:space="0" w:color="auto"/>
      </w:divBdr>
    </w:div>
    <w:div w:id="546842089">
      <w:bodyDiv w:val="1"/>
      <w:marLeft w:val="0"/>
      <w:marRight w:val="0"/>
      <w:marTop w:val="0"/>
      <w:marBottom w:val="0"/>
      <w:divBdr>
        <w:top w:val="none" w:sz="0" w:space="0" w:color="auto"/>
        <w:left w:val="none" w:sz="0" w:space="0" w:color="auto"/>
        <w:bottom w:val="none" w:sz="0" w:space="0" w:color="auto"/>
        <w:right w:val="none" w:sz="0" w:space="0" w:color="auto"/>
      </w:divBdr>
      <w:divsChild>
        <w:div w:id="964963553">
          <w:marLeft w:val="0"/>
          <w:marRight w:val="83"/>
          <w:marTop w:val="0"/>
          <w:marBottom w:val="0"/>
          <w:divBdr>
            <w:top w:val="none" w:sz="0" w:space="0" w:color="auto"/>
            <w:left w:val="none" w:sz="0" w:space="0" w:color="auto"/>
            <w:bottom w:val="none" w:sz="0" w:space="0" w:color="auto"/>
            <w:right w:val="none" w:sz="0" w:space="0" w:color="auto"/>
          </w:divBdr>
        </w:div>
        <w:div w:id="385182808">
          <w:marLeft w:val="0"/>
          <w:marRight w:val="0"/>
          <w:marTop w:val="0"/>
          <w:marBottom w:val="0"/>
          <w:divBdr>
            <w:top w:val="none" w:sz="0" w:space="0" w:color="auto"/>
            <w:left w:val="none" w:sz="0" w:space="0" w:color="auto"/>
            <w:bottom w:val="none" w:sz="0" w:space="0" w:color="auto"/>
            <w:right w:val="none" w:sz="0" w:space="0" w:color="auto"/>
          </w:divBdr>
          <w:divsChild>
            <w:div w:id="440808192">
              <w:marLeft w:val="0"/>
              <w:marRight w:val="0"/>
              <w:marTop w:val="0"/>
              <w:marBottom w:val="0"/>
              <w:divBdr>
                <w:top w:val="none" w:sz="0" w:space="0" w:color="auto"/>
                <w:left w:val="none" w:sz="0" w:space="0" w:color="auto"/>
                <w:bottom w:val="none" w:sz="0" w:space="0" w:color="auto"/>
                <w:right w:val="none" w:sz="0" w:space="0" w:color="auto"/>
              </w:divBdr>
              <w:divsChild>
                <w:div w:id="270548660">
                  <w:marLeft w:val="0"/>
                  <w:marRight w:val="0"/>
                  <w:marTop w:val="0"/>
                  <w:marBottom w:val="0"/>
                  <w:divBdr>
                    <w:top w:val="none" w:sz="0" w:space="0" w:color="auto"/>
                    <w:left w:val="none" w:sz="0" w:space="0" w:color="auto"/>
                    <w:bottom w:val="none" w:sz="0" w:space="0" w:color="auto"/>
                    <w:right w:val="none" w:sz="0" w:space="0" w:color="auto"/>
                  </w:divBdr>
                  <w:divsChild>
                    <w:div w:id="1028918427">
                      <w:marLeft w:val="0"/>
                      <w:marRight w:val="0"/>
                      <w:marTop w:val="0"/>
                      <w:marBottom w:val="0"/>
                      <w:divBdr>
                        <w:top w:val="none" w:sz="0" w:space="0" w:color="auto"/>
                        <w:left w:val="none" w:sz="0" w:space="0" w:color="auto"/>
                        <w:bottom w:val="none" w:sz="0" w:space="0" w:color="auto"/>
                        <w:right w:val="none" w:sz="0" w:space="0" w:color="auto"/>
                      </w:divBdr>
                    </w:div>
                    <w:div w:id="384456507">
                      <w:marLeft w:val="0"/>
                      <w:marRight w:val="0"/>
                      <w:marTop w:val="0"/>
                      <w:marBottom w:val="0"/>
                      <w:divBdr>
                        <w:top w:val="none" w:sz="0" w:space="0" w:color="auto"/>
                        <w:left w:val="none" w:sz="0" w:space="0" w:color="auto"/>
                        <w:bottom w:val="none" w:sz="0" w:space="0" w:color="auto"/>
                        <w:right w:val="none" w:sz="0" w:space="0" w:color="auto"/>
                      </w:divBdr>
                    </w:div>
                  </w:divsChild>
                </w:div>
                <w:div w:id="269095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734638">
      <w:bodyDiv w:val="1"/>
      <w:marLeft w:val="0"/>
      <w:marRight w:val="0"/>
      <w:marTop w:val="0"/>
      <w:marBottom w:val="0"/>
      <w:divBdr>
        <w:top w:val="none" w:sz="0" w:space="0" w:color="auto"/>
        <w:left w:val="none" w:sz="0" w:space="0" w:color="auto"/>
        <w:bottom w:val="none" w:sz="0" w:space="0" w:color="auto"/>
        <w:right w:val="none" w:sz="0" w:space="0" w:color="auto"/>
      </w:divBdr>
    </w:div>
    <w:div w:id="553933637">
      <w:bodyDiv w:val="1"/>
      <w:marLeft w:val="0"/>
      <w:marRight w:val="0"/>
      <w:marTop w:val="0"/>
      <w:marBottom w:val="0"/>
      <w:divBdr>
        <w:top w:val="none" w:sz="0" w:space="0" w:color="auto"/>
        <w:left w:val="none" w:sz="0" w:space="0" w:color="auto"/>
        <w:bottom w:val="none" w:sz="0" w:space="0" w:color="auto"/>
        <w:right w:val="none" w:sz="0" w:space="0" w:color="auto"/>
      </w:divBdr>
      <w:divsChild>
        <w:div w:id="617419825">
          <w:marLeft w:val="0"/>
          <w:marRight w:val="0"/>
          <w:marTop w:val="0"/>
          <w:marBottom w:val="0"/>
          <w:divBdr>
            <w:top w:val="none" w:sz="0" w:space="0" w:color="auto"/>
            <w:left w:val="none" w:sz="0" w:space="0" w:color="auto"/>
            <w:bottom w:val="none" w:sz="0" w:space="0" w:color="auto"/>
            <w:right w:val="none" w:sz="0" w:space="0" w:color="auto"/>
          </w:divBdr>
        </w:div>
      </w:divsChild>
    </w:div>
    <w:div w:id="554586611">
      <w:bodyDiv w:val="1"/>
      <w:marLeft w:val="0"/>
      <w:marRight w:val="0"/>
      <w:marTop w:val="0"/>
      <w:marBottom w:val="0"/>
      <w:divBdr>
        <w:top w:val="none" w:sz="0" w:space="0" w:color="auto"/>
        <w:left w:val="none" w:sz="0" w:space="0" w:color="auto"/>
        <w:bottom w:val="none" w:sz="0" w:space="0" w:color="auto"/>
        <w:right w:val="none" w:sz="0" w:space="0" w:color="auto"/>
      </w:divBdr>
    </w:div>
    <w:div w:id="555899269">
      <w:bodyDiv w:val="1"/>
      <w:marLeft w:val="0"/>
      <w:marRight w:val="0"/>
      <w:marTop w:val="0"/>
      <w:marBottom w:val="0"/>
      <w:divBdr>
        <w:top w:val="none" w:sz="0" w:space="0" w:color="auto"/>
        <w:left w:val="none" w:sz="0" w:space="0" w:color="auto"/>
        <w:bottom w:val="none" w:sz="0" w:space="0" w:color="auto"/>
        <w:right w:val="none" w:sz="0" w:space="0" w:color="auto"/>
      </w:divBdr>
    </w:div>
    <w:div w:id="556354752">
      <w:bodyDiv w:val="1"/>
      <w:marLeft w:val="0"/>
      <w:marRight w:val="0"/>
      <w:marTop w:val="0"/>
      <w:marBottom w:val="0"/>
      <w:divBdr>
        <w:top w:val="none" w:sz="0" w:space="0" w:color="auto"/>
        <w:left w:val="none" w:sz="0" w:space="0" w:color="auto"/>
        <w:bottom w:val="none" w:sz="0" w:space="0" w:color="auto"/>
        <w:right w:val="none" w:sz="0" w:space="0" w:color="auto"/>
      </w:divBdr>
    </w:div>
    <w:div w:id="558172836">
      <w:bodyDiv w:val="1"/>
      <w:marLeft w:val="0"/>
      <w:marRight w:val="0"/>
      <w:marTop w:val="0"/>
      <w:marBottom w:val="0"/>
      <w:divBdr>
        <w:top w:val="none" w:sz="0" w:space="0" w:color="auto"/>
        <w:left w:val="none" w:sz="0" w:space="0" w:color="auto"/>
        <w:bottom w:val="none" w:sz="0" w:space="0" w:color="auto"/>
        <w:right w:val="none" w:sz="0" w:space="0" w:color="auto"/>
      </w:divBdr>
    </w:div>
    <w:div w:id="560098143">
      <w:bodyDiv w:val="1"/>
      <w:marLeft w:val="0"/>
      <w:marRight w:val="0"/>
      <w:marTop w:val="0"/>
      <w:marBottom w:val="0"/>
      <w:divBdr>
        <w:top w:val="none" w:sz="0" w:space="0" w:color="auto"/>
        <w:left w:val="none" w:sz="0" w:space="0" w:color="auto"/>
        <w:bottom w:val="none" w:sz="0" w:space="0" w:color="auto"/>
        <w:right w:val="none" w:sz="0" w:space="0" w:color="auto"/>
      </w:divBdr>
    </w:div>
    <w:div w:id="564293561">
      <w:bodyDiv w:val="1"/>
      <w:marLeft w:val="0"/>
      <w:marRight w:val="0"/>
      <w:marTop w:val="0"/>
      <w:marBottom w:val="0"/>
      <w:divBdr>
        <w:top w:val="none" w:sz="0" w:space="0" w:color="auto"/>
        <w:left w:val="none" w:sz="0" w:space="0" w:color="auto"/>
        <w:bottom w:val="none" w:sz="0" w:space="0" w:color="auto"/>
        <w:right w:val="none" w:sz="0" w:space="0" w:color="auto"/>
      </w:divBdr>
    </w:div>
    <w:div w:id="565334885">
      <w:bodyDiv w:val="1"/>
      <w:marLeft w:val="0"/>
      <w:marRight w:val="0"/>
      <w:marTop w:val="0"/>
      <w:marBottom w:val="0"/>
      <w:divBdr>
        <w:top w:val="none" w:sz="0" w:space="0" w:color="auto"/>
        <w:left w:val="none" w:sz="0" w:space="0" w:color="auto"/>
        <w:bottom w:val="none" w:sz="0" w:space="0" w:color="auto"/>
        <w:right w:val="none" w:sz="0" w:space="0" w:color="auto"/>
      </w:divBdr>
    </w:div>
    <w:div w:id="565452585">
      <w:bodyDiv w:val="1"/>
      <w:marLeft w:val="0"/>
      <w:marRight w:val="0"/>
      <w:marTop w:val="0"/>
      <w:marBottom w:val="0"/>
      <w:divBdr>
        <w:top w:val="none" w:sz="0" w:space="0" w:color="auto"/>
        <w:left w:val="none" w:sz="0" w:space="0" w:color="auto"/>
        <w:bottom w:val="none" w:sz="0" w:space="0" w:color="auto"/>
        <w:right w:val="none" w:sz="0" w:space="0" w:color="auto"/>
      </w:divBdr>
    </w:div>
    <w:div w:id="566260426">
      <w:bodyDiv w:val="1"/>
      <w:marLeft w:val="0"/>
      <w:marRight w:val="0"/>
      <w:marTop w:val="0"/>
      <w:marBottom w:val="0"/>
      <w:divBdr>
        <w:top w:val="none" w:sz="0" w:space="0" w:color="auto"/>
        <w:left w:val="none" w:sz="0" w:space="0" w:color="auto"/>
        <w:bottom w:val="none" w:sz="0" w:space="0" w:color="auto"/>
        <w:right w:val="none" w:sz="0" w:space="0" w:color="auto"/>
      </w:divBdr>
    </w:div>
    <w:div w:id="568662156">
      <w:bodyDiv w:val="1"/>
      <w:marLeft w:val="0"/>
      <w:marRight w:val="0"/>
      <w:marTop w:val="0"/>
      <w:marBottom w:val="0"/>
      <w:divBdr>
        <w:top w:val="none" w:sz="0" w:space="0" w:color="auto"/>
        <w:left w:val="none" w:sz="0" w:space="0" w:color="auto"/>
        <w:bottom w:val="none" w:sz="0" w:space="0" w:color="auto"/>
        <w:right w:val="none" w:sz="0" w:space="0" w:color="auto"/>
      </w:divBdr>
      <w:divsChild>
        <w:div w:id="2100329158">
          <w:marLeft w:val="0"/>
          <w:marRight w:val="0"/>
          <w:marTop w:val="0"/>
          <w:marBottom w:val="0"/>
          <w:divBdr>
            <w:top w:val="none" w:sz="0" w:space="0" w:color="auto"/>
            <w:left w:val="none" w:sz="0" w:space="0" w:color="auto"/>
            <w:bottom w:val="none" w:sz="0" w:space="0" w:color="auto"/>
            <w:right w:val="none" w:sz="0" w:space="0" w:color="auto"/>
          </w:divBdr>
        </w:div>
      </w:divsChild>
    </w:div>
    <w:div w:id="569537223">
      <w:bodyDiv w:val="1"/>
      <w:marLeft w:val="0"/>
      <w:marRight w:val="0"/>
      <w:marTop w:val="0"/>
      <w:marBottom w:val="0"/>
      <w:divBdr>
        <w:top w:val="none" w:sz="0" w:space="0" w:color="auto"/>
        <w:left w:val="none" w:sz="0" w:space="0" w:color="auto"/>
        <w:bottom w:val="none" w:sz="0" w:space="0" w:color="auto"/>
        <w:right w:val="none" w:sz="0" w:space="0" w:color="auto"/>
      </w:divBdr>
    </w:div>
    <w:div w:id="570702625">
      <w:bodyDiv w:val="1"/>
      <w:marLeft w:val="0"/>
      <w:marRight w:val="0"/>
      <w:marTop w:val="0"/>
      <w:marBottom w:val="0"/>
      <w:divBdr>
        <w:top w:val="none" w:sz="0" w:space="0" w:color="auto"/>
        <w:left w:val="none" w:sz="0" w:space="0" w:color="auto"/>
        <w:bottom w:val="none" w:sz="0" w:space="0" w:color="auto"/>
        <w:right w:val="none" w:sz="0" w:space="0" w:color="auto"/>
      </w:divBdr>
    </w:div>
    <w:div w:id="573008402">
      <w:bodyDiv w:val="1"/>
      <w:marLeft w:val="0"/>
      <w:marRight w:val="0"/>
      <w:marTop w:val="0"/>
      <w:marBottom w:val="0"/>
      <w:divBdr>
        <w:top w:val="none" w:sz="0" w:space="0" w:color="auto"/>
        <w:left w:val="none" w:sz="0" w:space="0" w:color="auto"/>
        <w:bottom w:val="none" w:sz="0" w:space="0" w:color="auto"/>
        <w:right w:val="none" w:sz="0" w:space="0" w:color="auto"/>
      </w:divBdr>
    </w:div>
    <w:div w:id="573011536">
      <w:bodyDiv w:val="1"/>
      <w:marLeft w:val="0"/>
      <w:marRight w:val="0"/>
      <w:marTop w:val="0"/>
      <w:marBottom w:val="0"/>
      <w:divBdr>
        <w:top w:val="none" w:sz="0" w:space="0" w:color="auto"/>
        <w:left w:val="none" w:sz="0" w:space="0" w:color="auto"/>
        <w:bottom w:val="none" w:sz="0" w:space="0" w:color="auto"/>
        <w:right w:val="none" w:sz="0" w:space="0" w:color="auto"/>
      </w:divBdr>
    </w:div>
    <w:div w:id="576475356">
      <w:bodyDiv w:val="1"/>
      <w:marLeft w:val="0"/>
      <w:marRight w:val="0"/>
      <w:marTop w:val="0"/>
      <w:marBottom w:val="0"/>
      <w:divBdr>
        <w:top w:val="none" w:sz="0" w:space="0" w:color="auto"/>
        <w:left w:val="none" w:sz="0" w:space="0" w:color="auto"/>
        <w:bottom w:val="none" w:sz="0" w:space="0" w:color="auto"/>
        <w:right w:val="none" w:sz="0" w:space="0" w:color="auto"/>
      </w:divBdr>
    </w:div>
    <w:div w:id="583606427">
      <w:bodyDiv w:val="1"/>
      <w:marLeft w:val="0"/>
      <w:marRight w:val="0"/>
      <w:marTop w:val="0"/>
      <w:marBottom w:val="0"/>
      <w:divBdr>
        <w:top w:val="none" w:sz="0" w:space="0" w:color="auto"/>
        <w:left w:val="none" w:sz="0" w:space="0" w:color="auto"/>
        <w:bottom w:val="none" w:sz="0" w:space="0" w:color="auto"/>
        <w:right w:val="none" w:sz="0" w:space="0" w:color="auto"/>
      </w:divBdr>
    </w:div>
    <w:div w:id="583687153">
      <w:bodyDiv w:val="1"/>
      <w:marLeft w:val="0"/>
      <w:marRight w:val="0"/>
      <w:marTop w:val="0"/>
      <w:marBottom w:val="0"/>
      <w:divBdr>
        <w:top w:val="none" w:sz="0" w:space="0" w:color="auto"/>
        <w:left w:val="none" w:sz="0" w:space="0" w:color="auto"/>
        <w:bottom w:val="none" w:sz="0" w:space="0" w:color="auto"/>
        <w:right w:val="none" w:sz="0" w:space="0" w:color="auto"/>
      </w:divBdr>
    </w:div>
    <w:div w:id="584194809">
      <w:bodyDiv w:val="1"/>
      <w:marLeft w:val="0"/>
      <w:marRight w:val="0"/>
      <w:marTop w:val="0"/>
      <w:marBottom w:val="0"/>
      <w:divBdr>
        <w:top w:val="none" w:sz="0" w:space="0" w:color="auto"/>
        <w:left w:val="none" w:sz="0" w:space="0" w:color="auto"/>
        <w:bottom w:val="none" w:sz="0" w:space="0" w:color="auto"/>
        <w:right w:val="none" w:sz="0" w:space="0" w:color="auto"/>
      </w:divBdr>
    </w:div>
    <w:div w:id="584263006">
      <w:bodyDiv w:val="1"/>
      <w:marLeft w:val="0"/>
      <w:marRight w:val="0"/>
      <w:marTop w:val="0"/>
      <w:marBottom w:val="0"/>
      <w:divBdr>
        <w:top w:val="none" w:sz="0" w:space="0" w:color="auto"/>
        <w:left w:val="none" w:sz="0" w:space="0" w:color="auto"/>
        <w:bottom w:val="none" w:sz="0" w:space="0" w:color="auto"/>
        <w:right w:val="none" w:sz="0" w:space="0" w:color="auto"/>
      </w:divBdr>
    </w:div>
    <w:div w:id="586572523">
      <w:bodyDiv w:val="1"/>
      <w:marLeft w:val="0"/>
      <w:marRight w:val="0"/>
      <w:marTop w:val="0"/>
      <w:marBottom w:val="0"/>
      <w:divBdr>
        <w:top w:val="none" w:sz="0" w:space="0" w:color="auto"/>
        <w:left w:val="none" w:sz="0" w:space="0" w:color="auto"/>
        <w:bottom w:val="none" w:sz="0" w:space="0" w:color="auto"/>
        <w:right w:val="none" w:sz="0" w:space="0" w:color="auto"/>
      </w:divBdr>
    </w:div>
    <w:div w:id="592052598">
      <w:bodyDiv w:val="1"/>
      <w:marLeft w:val="0"/>
      <w:marRight w:val="0"/>
      <w:marTop w:val="0"/>
      <w:marBottom w:val="0"/>
      <w:divBdr>
        <w:top w:val="none" w:sz="0" w:space="0" w:color="auto"/>
        <w:left w:val="none" w:sz="0" w:space="0" w:color="auto"/>
        <w:bottom w:val="none" w:sz="0" w:space="0" w:color="auto"/>
        <w:right w:val="none" w:sz="0" w:space="0" w:color="auto"/>
      </w:divBdr>
    </w:div>
    <w:div w:id="606885625">
      <w:bodyDiv w:val="1"/>
      <w:marLeft w:val="0"/>
      <w:marRight w:val="0"/>
      <w:marTop w:val="0"/>
      <w:marBottom w:val="0"/>
      <w:divBdr>
        <w:top w:val="none" w:sz="0" w:space="0" w:color="auto"/>
        <w:left w:val="none" w:sz="0" w:space="0" w:color="auto"/>
        <w:bottom w:val="none" w:sz="0" w:space="0" w:color="auto"/>
        <w:right w:val="none" w:sz="0" w:space="0" w:color="auto"/>
      </w:divBdr>
    </w:div>
    <w:div w:id="622229582">
      <w:bodyDiv w:val="1"/>
      <w:marLeft w:val="0"/>
      <w:marRight w:val="0"/>
      <w:marTop w:val="0"/>
      <w:marBottom w:val="0"/>
      <w:divBdr>
        <w:top w:val="none" w:sz="0" w:space="0" w:color="auto"/>
        <w:left w:val="none" w:sz="0" w:space="0" w:color="auto"/>
        <w:bottom w:val="none" w:sz="0" w:space="0" w:color="auto"/>
        <w:right w:val="none" w:sz="0" w:space="0" w:color="auto"/>
      </w:divBdr>
    </w:div>
    <w:div w:id="624232632">
      <w:bodyDiv w:val="1"/>
      <w:marLeft w:val="0"/>
      <w:marRight w:val="0"/>
      <w:marTop w:val="0"/>
      <w:marBottom w:val="0"/>
      <w:divBdr>
        <w:top w:val="none" w:sz="0" w:space="0" w:color="auto"/>
        <w:left w:val="none" w:sz="0" w:space="0" w:color="auto"/>
        <w:bottom w:val="none" w:sz="0" w:space="0" w:color="auto"/>
        <w:right w:val="none" w:sz="0" w:space="0" w:color="auto"/>
      </w:divBdr>
      <w:divsChild>
        <w:div w:id="880245609">
          <w:marLeft w:val="0"/>
          <w:marRight w:val="0"/>
          <w:marTop w:val="0"/>
          <w:marBottom w:val="0"/>
          <w:divBdr>
            <w:top w:val="none" w:sz="0" w:space="0" w:color="auto"/>
            <w:left w:val="none" w:sz="0" w:space="0" w:color="auto"/>
            <w:bottom w:val="none" w:sz="0" w:space="0" w:color="auto"/>
            <w:right w:val="none" w:sz="0" w:space="0" w:color="auto"/>
          </w:divBdr>
        </w:div>
      </w:divsChild>
    </w:div>
    <w:div w:id="634068280">
      <w:bodyDiv w:val="1"/>
      <w:marLeft w:val="0"/>
      <w:marRight w:val="0"/>
      <w:marTop w:val="0"/>
      <w:marBottom w:val="0"/>
      <w:divBdr>
        <w:top w:val="none" w:sz="0" w:space="0" w:color="auto"/>
        <w:left w:val="none" w:sz="0" w:space="0" w:color="auto"/>
        <w:bottom w:val="none" w:sz="0" w:space="0" w:color="auto"/>
        <w:right w:val="none" w:sz="0" w:space="0" w:color="auto"/>
      </w:divBdr>
      <w:divsChild>
        <w:div w:id="678242144">
          <w:marLeft w:val="0"/>
          <w:marRight w:val="0"/>
          <w:marTop w:val="15"/>
          <w:marBottom w:val="0"/>
          <w:divBdr>
            <w:top w:val="none" w:sz="0" w:space="0" w:color="auto"/>
            <w:left w:val="none" w:sz="0" w:space="0" w:color="auto"/>
            <w:bottom w:val="none" w:sz="0" w:space="0" w:color="auto"/>
            <w:right w:val="none" w:sz="0" w:space="0" w:color="auto"/>
          </w:divBdr>
          <w:divsChild>
            <w:div w:id="1013916222">
              <w:marLeft w:val="0"/>
              <w:marRight w:val="0"/>
              <w:marTop w:val="0"/>
              <w:marBottom w:val="0"/>
              <w:divBdr>
                <w:top w:val="none" w:sz="0" w:space="0" w:color="auto"/>
                <w:left w:val="none" w:sz="0" w:space="0" w:color="auto"/>
                <w:bottom w:val="none" w:sz="0" w:space="0" w:color="auto"/>
                <w:right w:val="none" w:sz="0" w:space="0" w:color="auto"/>
              </w:divBdr>
              <w:divsChild>
                <w:div w:id="147789651">
                  <w:marLeft w:val="0"/>
                  <w:marRight w:val="0"/>
                  <w:marTop w:val="0"/>
                  <w:marBottom w:val="0"/>
                  <w:divBdr>
                    <w:top w:val="none" w:sz="0" w:space="0" w:color="auto"/>
                    <w:left w:val="none" w:sz="0" w:space="0" w:color="auto"/>
                    <w:bottom w:val="none" w:sz="0" w:space="0" w:color="auto"/>
                    <w:right w:val="none" w:sz="0" w:space="0" w:color="auto"/>
                  </w:divBdr>
                </w:div>
                <w:div w:id="1455178109">
                  <w:marLeft w:val="0"/>
                  <w:marRight w:val="0"/>
                  <w:marTop w:val="0"/>
                  <w:marBottom w:val="0"/>
                  <w:divBdr>
                    <w:top w:val="none" w:sz="0" w:space="0" w:color="auto"/>
                    <w:left w:val="none" w:sz="0" w:space="0" w:color="auto"/>
                    <w:bottom w:val="none" w:sz="0" w:space="0" w:color="auto"/>
                    <w:right w:val="none" w:sz="0" w:space="0" w:color="auto"/>
                  </w:divBdr>
                </w:div>
                <w:div w:id="1839611292">
                  <w:marLeft w:val="0"/>
                  <w:marRight w:val="0"/>
                  <w:marTop w:val="0"/>
                  <w:marBottom w:val="0"/>
                  <w:divBdr>
                    <w:top w:val="none" w:sz="0" w:space="0" w:color="auto"/>
                    <w:left w:val="none" w:sz="0" w:space="0" w:color="auto"/>
                    <w:bottom w:val="none" w:sz="0" w:space="0" w:color="auto"/>
                    <w:right w:val="none" w:sz="0" w:space="0" w:color="auto"/>
                  </w:divBdr>
                </w:div>
                <w:div w:id="479544844">
                  <w:marLeft w:val="0"/>
                  <w:marRight w:val="0"/>
                  <w:marTop w:val="0"/>
                  <w:marBottom w:val="0"/>
                  <w:divBdr>
                    <w:top w:val="none" w:sz="0" w:space="0" w:color="auto"/>
                    <w:left w:val="none" w:sz="0" w:space="0" w:color="auto"/>
                    <w:bottom w:val="none" w:sz="0" w:space="0" w:color="auto"/>
                    <w:right w:val="none" w:sz="0" w:space="0" w:color="auto"/>
                  </w:divBdr>
                </w:div>
                <w:div w:id="1534882941">
                  <w:marLeft w:val="0"/>
                  <w:marRight w:val="0"/>
                  <w:marTop w:val="0"/>
                  <w:marBottom w:val="0"/>
                  <w:divBdr>
                    <w:top w:val="none" w:sz="0" w:space="0" w:color="auto"/>
                    <w:left w:val="none" w:sz="0" w:space="0" w:color="auto"/>
                    <w:bottom w:val="none" w:sz="0" w:space="0" w:color="auto"/>
                    <w:right w:val="none" w:sz="0" w:space="0" w:color="auto"/>
                  </w:divBdr>
                </w:div>
                <w:div w:id="253322822">
                  <w:marLeft w:val="0"/>
                  <w:marRight w:val="0"/>
                  <w:marTop w:val="0"/>
                  <w:marBottom w:val="0"/>
                  <w:divBdr>
                    <w:top w:val="none" w:sz="0" w:space="0" w:color="auto"/>
                    <w:left w:val="none" w:sz="0" w:space="0" w:color="auto"/>
                    <w:bottom w:val="none" w:sz="0" w:space="0" w:color="auto"/>
                    <w:right w:val="none" w:sz="0" w:space="0" w:color="auto"/>
                  </w:divBdr>
                </w:div>
                <w:div w:id="677000141">
                  <w:marLeft w:val="0"/>
                  <w:marRight w:val="0"/>
                  <w:marTop w:val="0"/>
                  <w:marBottom w:val="0"/>
                  <w:divBdr>
                    <w:top w:val="none" w:sz="0" w:space="0" w:color="auto"/>
                    <w:left w:val="none" w:sz="0" w:space="0" w:color="auto"/>
                    <w:bottom w:val="none" w:sz="0" w:space="0" w:color="auto"/>
                    <w:right w:val="none" w:sz="0" w:space="0" w:color="auto"/>
                  </w:divBdr>
                </w:div>
                <w:div w:id="1572620362">
                  <w:marLeft w:val="0"/>
                  <w:marRight w:val="0"/>
                  <w:marTop w:val="0"/>
                  <w:marBottom w:val="0"/>
                  <w:divBdr>
                    <w:top w:val="none" w:sz="0" w:space="0" w:color="auto"/>
                    <w:left w:val="none" w:sz="0" w:space="0" w:color="auto"/>
                    <w:bottom w:val="none" w:sz="0" w:space="0" w:color="auto"/>
                    <w:right w:val="none" w:sz="0" w:space="0" w:color="auto"/>
                  </w:divBdr>
                </w:div>
                <w:div w:id="1639337835">
                  <w:marLeft w:val="0"/>
                  <w:marRight w:val="0"/>
                  <w:marTop w:val="0"/>
                  <w:marBottom w:val="0"/>
                  <w:divBdr>
                    <w:top w:val="none" w:sz="0" w:space="0" w:color="auto"/>
                    <w:left w:val="none" w:sz="0" w:space="0" w:color="auto"/>
                    <w:bottom w:val="none" w:sz="0" w:space="0" w:color="auto"/>
                    <w:right w:val="none" w:sz="0" w:space="0" w:color="auto"/>
                  </w:divBdr>
                </w:div>
                <w:div w:id="1822112048">
                  <w:marLeft w:val="0"/>
                  <w:marRight w:val="0"/>
                  <w:marTop w:val="0"/>
                  <w:marBottom w:val="0"/>
                  <w:divBdr>
                    <w:top w:val="none" w:sz="0" w:space="0" w:color="auto"/>
                    <w:left w:val="none" w:sz="0" w:space="0" w:color="auto"/>
                    <w:bottom w:val="none" w:sz="0" w:space="0" w:color="auto"/>
                    <w:right w:val="none" w:sz="0" w:space="0" w:color="auto"/>
                  </w:divBdr>
                </w:div>
                <w:div w:id="151067295">
                  <w:marLeft w:val="0"/>
                  <w:marRight w:val="0"/>
                  <w:marTop w:val="0"/>
                  <w:marBottom w:val="0"/>
                  <w:divBdr>
                    <w:top w:val="none" w:sz="0" w:space="0" w:color="auto"/>
                    <w:left w:val="none" w:sz="0" w:space="0" w:color="auto"/>
                    <w:bottom w:val="none" w:sz="0" w:space="0" w:color="auto"/>
                    <w:right w:val="none" w:sz="0" w:space="0" w:color="auto"/>
                  </w:divBdr>
                </w:div>
                <w:div w:id="1552645219">
                  <w:marLeft w:val="0"/>
                  <w:marRight w:val="0"/>
                  <w:marTop w:val="0"/>
                  <w:marBottom w:val="0"/>
                  <w:divBdr>
                    <w:top w:val="none" w:sz="0" w:space="0" w:color="auto"/>
                    <w:left w:val="none" w:sz="0" w:space="0" w:color="auto"/>
                    <w:bottom w:val="none" w:sz="0" w:space="0" w:color="auto"/>
                    <w:right w:val="none" w:sz="0" w:space="0" w:color="auto"/>
                  </w:divBdr>
                </w:div>
                <w:div w:id="206188249">
                  <w:marLeft w:val="0"/>
                  <w:marRight w:val="0"/>
                  <w:marTop w:val="0"/>
                  <w:marBottom w:val="0"/>
                  <w:divBdr>
                    <w:top w:val="none" w:sz="0" w:space="0" w:color="auto"/>
                    <w:left w:val="none" w:sz="0" w:space="0" w:color="auto"/>
                    <w:bottom w:val="none" w:sz="0" w:space="0" w:color="auto"/>
                    <w:right w:val="none" w:sz="0" w:space="0" w:color="auto"/>
                  </w:divBdr>
                </w:div>
                <w:div w:id="1434787786">
                  <w:marLeft w:val="0"/>
                  <w:marRight w:val="0"/>
                  <w:marTop w:val="0"/>
                  <w:marBottom w:val="0"/>
                  <w:divBdr>
                    <w:top w:val="none" w:sz="0" w:space="0" w:color="auto"/>
                    <w:left w:val="none" w:sz="0" w:space="0" w:color="auto"/>
                    <w:bottom w:val="none" w:sz="0" w:space="0" w:color="auto"/>
                    <w:right w:val="none" w:sz="0" w:space="0" w:color="auto"/>
                  </w:divBdr>
                </w:div>
                <w:div w:id="177431031">
                  <w:marLeft w:val="0"/>
                  <w:marRight w:val="0"/>
                  <w:marTop w:val="0"/>
                  <w:marBottom w:val="0"/>
                  <w:divBdr>
                    <w:top w:val="none" w:sz="0" w:space="0" w:color="auto"/>
                    <w:left w:val="none" w:sz="0" w:space="0" w:color="auto"/>
                    <w:bottom w:val="none" w:sz="0" w:space="0" w:color="auto"/>
                    <w:right w:val="none" w:sz="0" w:space="0" w:color="auto"/>
                  </w:divBdr>
                </w:div>
                <w:div w:id="1471751422">
                  <w:marLeft w:val="0"/>
                  <w:marRight w:val="0"/>
                  <w:marTop w:val="0"/>
                  <w:marBottom w:val="0"/>
                  <w:divBdr>
                    <w:top w:val="none" w:sz="0" w:space="0" w:color="auto"/>
                    <w:left w:val="none" w:sz="0" w:space="0" w:color="auto"/>
                    <w:bottom w:val="none" w:sz="0" w:space="0" w:color="auto"/>
                    <w:right w:val="none" w:sz="0" w:space="0" w:color="auto"/>
                  </w:divBdr>
                </w:div>
                <w:div w:id="823932285">
                  <w:marLeft w:val="0"/>
                  <w:marRight w:val="0"/>
                  <w:marTop w:val="0"/>
                  <w:marBottom w:val="0"/>
                  <w:divBdr>
                    <w:top w:val="none" w:sz="0" w:space="0" w:color="auto"/>
                    <w:left w:val="none" w:sz="0" w:space="0" w:color="auto"/>
                    <w:bottom w:val="none" w:sz="0" w:space="0" w:color="auto"/>
                    <w:right w:val="none" w:sz="0" w:space="0" w:color="auto"/>
                  </w:divBdr>
                </w:div>
                <w:div w:id="495344378">
                  <w:marLeft w:val="0"/>
                  <w:marRight w:val="0"/>
                  <w:marTop w:val="0"/>
                  <w:marBottom w:val="0"/>
                  <w:divBdr>
                    <w:top w:val="none" w:sz="0" w:space="0" w:color="auto"/>
                    <w:left w:val="none" w:sz="0" w:space="0" w:color="auto"/>
                    <w:bottom w:val="none" w:sz="0" w:space="0" w:color="auto"/>
                    <w:right w:val="none" w:sz="0" w:space="0" w:color="auto"/>
                  </w:divBdr>
                </w:div>
                <w:div w:id="1108038593">
                  <w:marLeft w:val="0"/>
                  <w:marRight w:val="0"/>
                  <w:marTop w:val="0"/>
                  <w:marBottom w:val="0"/>
                  <w:divBdr>
                    <w:top w:val="none" w:sz="0" w:space="0" w:color="auto"/>
                    <w:left w:val="none" w:sz="0" w:space="0" w:color="auto"/>
                    <w:bottom w:val="none" w:sz="0" w:space="0" w:color="auto"/>
                    <w:right w:val="none" w:sz="0" w:space="0" w:color="auto"/>
                  </w:divBdr>
                </w:div>
                <w:div w:id="1187674121">
                  <w:marLeft w:val="0"/>
                  <w:marRight w:val="0"/>
                  <w:marTop w:val="0"/>
                  <w:marBottom w:val="0"/>
                  <w:divBdr>
                    <w:top w:val="none" w:sz="0" w:space="0" w:color="auto"/>
                    <w:left w:val="none" w:sz="0" w:space="0" w:color="auto"/>
                    <w:bottom w:val="none" w:sz="0" w:space="0" w:color="auto"/>
                    <w:right w:val="none" w:sz="0" w:space="0" w:color="auto"/>
                  </w:divBdr>
                </w:div>
                <w:div w:id="330064562">
                  <w:marLeft w:val="0"/>
                  <w:marRight w:val="0"/>
                  <w:marTop w:val="0"/>
                  <w:marBottom w:val="0"/>
                  <w:divBdr>
                    <w:top w:val="none" w:sz="0" w:space="0" w:color="auto"/>
                    <w:left w:val="none" w:sz="0" w:space="0" w:color="auto"/>
                    <w:bottom w:val="none" w:sz="0" w:space="0" w:color="auto"/>
                    <w:right w:val="none" w:sz="0" w:space="0" w:color="auto"/>
                  </w:divBdr>
                </w:div>
                <w:div w:id="1631402818">
                  <w:marLeft w:val="0"/>
                  <w:marRight w:val="0"/>
                  <w:marTop w:val="0"/>
                  <w:marBottom w:val="0"/>
                  <w:divBdr>
                    <w:top w:val="none" w:sz="0" w:space="0" w:color="auto"/>
                    <w:left w:val="none" w:sz="0" w:space="0" w:color="auto"/>
                    <w:bottom w:val="none" w:sz="0" w:space="0" w:color="auto"/>
                    <w:right w:val="none" w:sz="0" w:space="0" w:color="auto"/>
                  </w:divBdr>
                </w:div>
                <w:div w:id="1828328619">
                  <w:marLeft w:val="0"/>
                  <w:marRight w:val="0"/>
                  <w:marTop w:val="0"/>
                  <w:marBottom w:val="0"/>
                  <w:divBdr>
                    <w:top w:val="none" w:sz="0" w:space="0" w:color="auto"/>
                    <w:left w:val="none" w:sz="0" w:space="0" w:color="auto"/>
                    <w:bottom w:val="none" w:sz="0" w:space="0" w:color="auto"/>
                    <w:right w:val="none" w:sz="0" w:space="0" w:color="auto"/>
                  </w:divBdr>
                </w:div>
                <w:div w:id="47464650">
                  <w:marLeft w:val="0"/>
                  <w:marRight w:val="0"/>
                  <w:marTop w:val="0"/>
                  <w:marBottom w:val="0"/>
                  <w:divBdr>
                    <w:top w:val="none" w:sz="0" w:space="0" w:color="auto"/>
                    <w:left w:val="none" w:sz="0" w:space="0" w:color="auto"/>
                    <w:bottom w:val="none" w:sz="0" w:space="0" w:color="auto"/>
                    <w:right w:val="none" w:sz="0" w:space="0" w:color="auto"/>
                  </w:divBdr>
                </w:div>
                <w:div w:id="762338758">
                  <w:marLeft w:val="0"/>
                  <w:marRight w:val="0"/>
                  <w:marTop w:val="0"/>
                  <w:marBottom w:val="0"/>
                  <w:divBdr>
                    <w:top w:val="none" w:sz="0" w:space="0" w:color="auto"/>
                    <w:left w:val="none" w:sz="0" w:space="0" w:color="auto"/>
                    <w:bottom w:val="none" w:sz="0" w:space="0" w:color="auto"/>
                    <w:right w:val="none" w:sz="0" w:space="0" w:color="auto"/>
                  </w:divBdr>
                </w:div>
                <w:div w:id="350495436">
                  <w:marLeft w:val="0"/>
                  <w:marRight w:val="0"/>
                  <w:marTop w:val="0"/>
                  <w:marBottom w:val="0"/>
                  <w:divBdr>
                    <w:top w:val="none" w:sz="0" w:space="0" w:color="auto"/>
                    <w:left w:val="none" w:sz="0" w:space="0" w:color="auto"/>
                    <w:bottom w:val="none" w:sz="0" w:space="0" w:color="auto"/>
                    <w:right w:val="none" w:sz="0" w:space="0" w:color="auto"/>
                  </w:divBdr>
                </w:div>
                <w:div w:id="1972007360">
                  <w:marLeft w:val="0"/>
                  <w:marRight w:val="0"/>
                  <w:marTop w:val="0"/>
                  <w:marBottom w:val="0"/>
                  <w:divBdr>
                    <w:top w:val="none" w:sz="0" w:space="0" w:color="auto"/>
                    <w:left w:val="none" w:sz="0" w:space="0" w:color="auto"/>
                    <w:bottom w:val="none" w:sz="0" w:space="0" w:color="auto"/>
                    <w:right w:val="none" w:sz="0" w:space="0" w:color="auto"/>
                  </w:divBdr>
                </w:div>
                <w:div w:id="1953199690">
                  <w:marLeft w:val="0"/>
                  <w:marRight w:val="0"/>
                  <w:marTop w:val="0"/>
                  <w:marBottom w:val="0"/>
                  <w:divBdr>
                    <w:top w:val="none" w:sz="0" w:space="0" w:color="auto"/>
                    <w:left w:val="none" w:sz="0" w:space="0" w:color="auto"/>
                    <w:bottom w:val="none" w:sz="0" w:space="0" w:color="auto"/>
                    <w:right w:val="none" w:sz="0" w:space="0" w:color="auto"/>
                  </w:divBdr>
                </w:div>
                <w:div w:id="711996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0525791">
          <w:marLeft w:val="0"/>
          <w:marRight w:val="0"/>
          <w:marTop w:val="15"/>
          <w:marBottom w:val="0"/>
          <w:divBdr>
            <w:top w:val="none" w:sz="0" w:space="0" w:color="auto"/>
            <w:left w:val="none" w:sz="0" w:space="0" w:color="auto"/>
            <w:bottom w:val="none" w:sz="0" w:space="0" w:color="auto"/>
            <w:right w:val="none" w:sz="0" w:space="0" w:color="auto"/>
          </w:divBdr>
          <w:divsChild>
            <w:div w:id="586618962">
              <w:marLeft w:val="0"/>
              <w:marRight w:val="0"/>
              <w:marTop w:val="0"/>
              <w:marBottom w:val="0"/>
              <w:divBdr>
                <w:top w:val="none" w:sz="0" w:space="0" w:color="auto"/>
                <w:left w:val="none" w:sz="0" w:space="0" w:color="auto"/>
                <w:bottom w:val="none" w:sz="0" w:space="0" w:color="auto"/>
                <w:right w:val="none" w:sz="0" w:space="0" w:color="auto"/>
              </w:divBdr>
              <w:divsChild>
                <w:div w:id="450979554">
                  <w:marLeft w:val="0"/>
                  <w:marRight w:val="0"/>
                  <w:marTop w:val="0"/>
                  <w:marBottom w:val="0"/>
                  <w:divBdr>
                    <w:top w:val="none" w:sz="0" w:space="0" w:color="auto"/>
                    <w:left w:val="none" w:sz="0" w:space="0" w:color="auto"/>
                    <w:bottom w:val="none" w:sz="0" w:space="0" w:color="auto"/>
                    <w:right w:val="none" w:sz="0" w:space="0" w:color="auto"/>
                  </w:divBdr>
                </w:div>
                <w:div w:id="366561565">
                  <w:marLeft w:val="0"/>
                  <w:marRight w:val="0"/>
                  <w:marTop w:val="0"/>
                  <w:marBottom w:val="0"/>
                  <w:divBdr>
                    <w:top w:val="none" w:sz="0" w:space="0" w:color="auto"/>
                    <w:left w:val="none" w:sz="0" w:space="0" w:color="auto"/>
                    <w:bottom w:val="none" w:sz="0" w:space="0" w:color="auto"/>
                    <w:right w:val="none" w:sz="0" w:space="0" w:color="auto"/>
                  </w:divBdr>
                </w:div>
                <w:div w:id="147943483">
                  <w:marLeft w:val="0"/>
                  <w:marRight w:val="0"/>
                  <w:marTop w:val="0"/>
                  <w:marBottom w:val="0"/>
                  <w:divBdr>
                    <w:top w:val="none" w:sz="0" w:space="0" w:color="auto"/>
                    <w:left w:val="none" w:sz="0" w:space="0" w:color="auto"/>
                    <w:bottom w:val="none" w:sz="0" w:space="0" w:color="auto"/>
                    <w:right w:val="none" w:sz="0" w:space="0" w:color="auto"/>
                  </w:divBdr>
                </w:div>
                <w:div w:id="579290825">
                  <w:marLeft w:val="0"/>
                  <w:marRight w:val="0"/>
                  <w:marTop w:val="0"/>
                  <w:marBottom w:val="0"/>
                  <w:divBdr>
                    <w:top w:val="none" w:sz="0" w:space="0" w:color="auto"/>
                    <w:left w:val="none" w:sz="0" w:space="0" w:color="auto"/>
                    <w:bottom w:val="none" w:sz="0" w:space="0" w:color="auto"/>
                    <w:right w:val="none" w:sz="0" w:space="0" w:color="auto"/>
                  </w:divBdr>
                </w:div>
                <w:div w:id="981806497">
                  <w:marLeft w:val="0"/>
                  <w:marRight w:val="0"/>
                  <w:marTop w:val="0"/>
                  <w:marBottom w:val="0"/>
                  <w:divBdr>
                    <w:top w:val="none" w:sz="0" w:space="0" w:color="auto"/>
                    <w:left w:val="none" w:sz="0" w:space="0" w:color="auto"/>
                    <w:bottom w:val="none" w:sz="0" w:space="0" w:color="auto"/>
                    <w:right w:val="none" w:sz="0" w:space="0" w:color="auto"/>
                  </w:divBdr>
                </w:div>
                <w:div w:id="48841882">
                  <w:marLeft w:val="0"/>
                  <w:marRight w:val="0"/>
                  <w:marTop w:val="0"/>
                  <w:marBottom w:val="0"/>
                  <w:divBdr>
                    <w:top w:val="none" w:sz="0" w:space="0" w:color="auto"/>
                    <w:left w:val="none" w:sz="0" w:space="0" w:color="auto"/>
                    <w:bottom w:val="none" w:sz="0" w:space="0" w:color="auto"/>
                    <w:right w:val="none" w:sz="0" w:space="0" w:color="auto"/>
                  </w:divBdr>
                </w:div>
                <w:div w:id="1779250185">
                  <w:marLeft w:val="0"/>
                  <w:marRight w:val="0"/>
                  <w:marTop w:val="0"/>
                  <w:marBottom w:val="0"/>
                  <w:divBdr>
                    <w:top w:val="none" w:sz="0" w:space="0" w:color="auto"/>
                    <w:left w:val="none" w:sz="0" w:space="0" w:color="auto"/>
                    <w:bottom w:val="none" w:sz="0" w:space="0" w:color="auto"/>
                    <w:right w:val="none" w:sz="0" w:space="0" w:color="auto"/>
                  </w:divBdr>
                </w:div>
                <w:div w:id="1513104496">
                  <w:marLeft w:val="0"/>
                  <w:marRight w:val="0"/>
                  <w:marTop w:val="0"/>
                  <w:marBottom w:val="0"/>
                  <w:divBdr>
                    <w:top w:val="none" w:sz="0" w:space="0" w:color="auto"/>
                    <w:left w:val="none" w:sz="0" w:space="0" w:color="auto"/>
                    <w:bottom w:val="none" w:sz="0" w:space="0" w:color="auto"/>
                    <w:right w:val="none" w:sz="0" w:space="0" w:color="auto"/>
                  </w:divBdr>
                </w:div>
                <w:div w:id="1931427086">
                  <w:marLeft w:val="0"/>
                  <w:marRight w:val="0"/>
                  <w:marTop w:val="0"/>
                  <w:marBottom w:val="0"/>
                  <w:divBdr>
                    <w:top w:val="none" w:sz="0" w:space="0" w:color="auto"/>
                    <w:left w:val="none" w:sz="0" w:space="0" w:color="auto"/>
                    <w:bottom w:val="none" w:sz="0" w:space="0" w:color="auto"/>
                    <w:right w:val="none" w:sz="0" w:space="0" w:color="auto"/>
                  </w:divBdr>
                </w:div>
                <w:div w:id="1608468288">
                  <w:marLeft w:val="0"/>
                  <w:marRight w:val="0"/>
                  <w:marTop w:val="0"/>
                  <w:marBottom w:val="0"/>
                  <w:divBdr>
                    <w:top w:val="none" w:sz="0" w:space="0" w:color="auto"/>
                    <w:left w:val="none" w:sz="0" w:space="0" w:color="auto"/>
                    <w:bottom w:val="none" w:sz="0" w:space="0" w:color="auto"/>
                    <w:right w:val="none" w:sz="0" w:space="0" w:color="auto"/>
                  </w:divBdr>
                </w:div>
                <w:div w:id="30811187">
                  <w:marLeft w:val="0"/>
                  <w:marRight w:val="0"/>
                  <w:marTop w:val="0"/>
                  <w:marBottom w:val="0"/>
                  <w:divBdr>
                    <w:top w:val="none" w:sz="0" w:space="0" w:color="auto"/>
                    <w:left w:val="none" w:sz="0" w:space="0" w:color="auto"/>
                    <w:bottom w:val="none" w:sz="0" w:space="0" w:color="auto"/>
                    <w:right w:val="none" w:sz="0" w:space="0" w:color="auto"/>
                  </w:divBdr>
                </w:div>
                <w:div w:id="1269775970">
                  <w:marLeft w:val="0"/>
                  <w:marRight w:val="0"/>
                  <w:marTop w:val="0"/>
                  <w:marBottom w:val="0"/>
                  <w:divBdr>
                    <w:top w:val="none" w:sz="0" w:space="0" w:color="auto"/>
                    <w:left w:val="none" w:sz="0" w:space="0" w:color="auto"/>
                    <w:bottom w:val="none" w:sz="0" w:space="0" w:color="auto"/>
                    <w:right w:val="none" w:sz="0" w:space="0" w:color="auto"/>
                  </w:divBdr>
                </w:div>
                <w:div w:id="1363092173">
                  <w:marLeft w:val="0"/>
                  <w:marRight w:val="0"/>
                  <w:marTop w:val="0"/>
                  <w:marBottom w:val="0"/>
                  <w:divBdr>
                    <w:top w:val="none" w:sz="0" w:space="0" w:color="auto"/>
                    <w:left w:val="none" w:sz="0" w:space="0" w:color="auto"/>
                    <w:bottom w:val="none" w:sz="0" w:space="0" w:color="auto"/>
                    <w:right w:val="none" w:sz="0" w:space="0" w:color="auto"/>
                  </w:divBdr>
                </w:div>
                <w:div w:id="926615484">
                  <w:marLeft w:val="0"/>
                  <w:marRight w:val="0"/>
                  <w:marTop w:val="0"/>
                  <w:marBottom w:val="0"/>
                  <w:divBdr>
                    <w:top w:val="none" w:sz="0" w:space="0" w:color="auto"/>
                    <w:left w:val="none" w:sz="0" w:space="0" w:color="auto"/>
                    <w:bottom w:val="none" w:sz="0" w:space="0" w:color="auto"/>
                    <w:right w:val="none" w:sz="0" w:space="0" w:color="auto"/>
                  </w:divBdr>
                </w:div>
                <w:div w:id="1354838984">
                  <w:marLeft w:val="0"/>
                  <w:marRight w:val="0"/>
                  <w:marTop w:val="0"/>
                  <w:marBottom w:val="0"/>
                  <w:divBdr>
                    <w:top w:val="none" w:sz="0" w:space="0" w:color="auto"/>
                    <w:left w:val="none" w:sz="0" w:space="0" w:color="auto"/>
                    <w:bottom w:val="none" w:sz="0" w:space="0" w:color="auto"/>
                    <w:right w:val="none" w:sz="0" w:space="0" w:color="auto"/>
                  </w:divBdr>
                </w:div>
                <w:div w:id="387845432">
                  <w:marLeft w:val="0"/>
                  <w:marRight w:val="0"/>
                  <w:marTop w:val="0"/>
                  <w:marBottom w:val="0"/>
                  <w:divBdr>
                    <w:top w:val="none" w:sz="0" w:space="0" w:color="auto"/>
                    <w:left w:val="none" w:sz="0" w:space="0" w:color="auto"/>
                    <w:bottom w:val="none" w:sz="0" w:space="0" w:color="auto"/>
                    <w:right w:val="none" w:sz="0" w:space="0" w:color="auto"/>
                  </w:divBdr>
                </w:div>
                <w:div w:id="840387591">
                  <w:marLeft w:val="0"/>
                  <w:marRight w:val="0"/>
                  <w:marTop w:val="0"/>
                  <w:marBottom w:val="0"/>
                  <w:divBdr>
                    <w:top w:val="none" w:sz="0" w:space="0" w:color="auto"/>
                    <w:left w:val="none" w:sz="0" w:space="0" w:color="auto"/>
                    <w:bottom w:val="none" w:sz="0" w:space="0" w:color="auto"/>
                    <w:right w:val="none" w:sz="0" w:space="0" w:color="auto"/>
                  </w:divBdr>
                </w:div>
                <w:div w:id="1337659126">
                  <w:marLeft w:val="0"/>
                  <w:marRight w:val="0"/>
                  <w:marTop w:val="0"/>
                  <w:marBottom w:val="0"/>
                  <w:divBdr>
                    <w:top w:val="none" w:sz="0" w:space="0" w:color="auto"/>
                    <w:left w:val="none" w:sz="0" w:space="0" w:color="auto"/>
                    <w:bottom w:val="none" w:sz="0" w:space="0" w:color="auto"/>
                    <w:right w:val="none" w:sz="0" w:space="0" w:color="auto"/>
                  </w:divBdr>
                </w:div>
                <w:div w:id="188491852">
                  <w:marLeft w:val="0"/>
                  <w:marRight w:val="0"/>
                  <w:marTop w:val="0"/>
                  <w:marBottom w:val="0"/>
                  <w:divBdr>
                    <w:top w:val="none" w:sz="0" w:space="0" w:color="auto"/>
                    <w:left w:val="none" w:sz="0" w:space="0" w:color="auto"/>
                    <w:bottom w:val="none" w:sz="0" w:space="0" w:color="auto"/>
                    <w:right w:val="none" w:sz="0" w:space="0" w:color="auto"/>
                  </w:divBdr>
                </w:div>
                <w:div w:id="69272413">
                  <w:marLeft w:val="0"/>
                  <w:marRight w:val="0"/>
                  <w:marTop w:val="0"/>
                  <w:marBottom w:val="0"/>
                  <w:divBdr>
                    <w:top w:val="none" w:sz="0" w:space="0" w:color="auto"/>
                    <w:left w:val="none" w:sz="0" w:space="0" w:color="auto"/>
                    <w:bottom w:val="none" w:sz="0" w:space="0" w:color="auto"/>
                    <w:right w:val="none" w:sz="0" w:space="0" w:color="auto"/>
                  </w:divBdr>
                </w:div>
                <w:div w:id="2121949795">
                  <w:marLeft w:val="0"/>
                  <w:marRight w:val="0"/>
                  <w:marTop w:val="0"/>
                  <w:marBottom w:val="0"/>
                  <w:divBdr>
                    <w:top w:val="none" w:sz="0" w:space="0" w:color="auto"/>
                    <w:left w:val="none" w:sz="0" w:space="0" w:color="auto"/>
                    <w:bottom w:val="none" w:sz="0" w:space="0" w:color="auto"/>
                    <w:right w:val="none" w:sz="0" w:space="0" w:color="auto"/>
                  </w:divBdr>
                </w:div>
                <w:div w:id="591668497">
                  <w:marLeft w:val="0"/>
                  <w:marRight w:val="0"/>
                  <w:marTop w:val="0"/>
                  <w:marBottom w:val="0"/>
                  <w:divBdr>
                    <w:top w:val="none" w:sz="0" w:space="0" w:color="auto"/>
                    <w:left w:val="none" w:sz="0" w:space="0" w:color="auto"/>
                    <w:bottom w:val="none" w:sz="0" w:space="0" w:color="auto"/>
                    <w:right w:val="none" w:sz="0" w:space="0" w:color="auto"/>
                  </w:divBdr>
                </w:div>
                <w:div w:id="142739935">
                  <w:marLeft w:val="0"/>
                  <w:marRight w:val="0"/>
                  <w:marTop w:val="0"/>
                  <w:marBottom w:val="0"/>
                  <w:divBdr>
                    <w:top w:val="none" w:sz="0" w:space="0" w:color="auto"/>
                    <w:left w:val="none" w:sz="0" w:space="0" w:color="auto"/>
                    <w:bottom w:val="none" w:sz="0" w:space="0" w:color="auto"/>
                    <w:right w:val="none" w:sz="0" w:space="0" w:color="auto"/>
                  </w:divBdr>
                </w:div>
                <w:div w:id="1096098270">
                  <w:marLeft w:val="0"/>
                  <w:marRight w:val="0"/>
                  <w:marTop w:val="0"/>
                  <w:marBottom w:val="0"/>
                  <w:divBdr>
                    <w:top w:val="none" w:sz="0" w:space="0" w:color="auto"/>
                    <w:left w:val="none" w:sz="0" w:space="0" w:color="auto"/>
                    <w:bottom w:val="none" w:sz="0" w:space="0" w:color="auto"/>
                    <w:right w:val="none" w:sz="0" w:space="0" w:color="auto"/>
                  </w:divBdr>
                </w:div>
                <w:div w:id="1584413688">
                  <w:marLeft w:val="0"/>
                  <w:marRight w:val="0"/>
                  <w:marTop w:val="0"/>
                  <w:marBottom w:val="0"/>
                  <w:divBdr>
                    <w:top w:val="none" w:sz="0" w:space="0" w:color="auto"/>
                    <w:left w:val="none" w:sz="0" w:space="0" w:color="auto"/>
                    <w:bottom w:val="none" w:sz="0" w:space="0" w:color="auto"/>
                    <w:right w:val="none" w:sz="0" w:space="0" w:color="auto"/>
                  </w:divBdr>
                </w:div>
                <w:div w:id="897328391">
                  <w:marLeft w:val="0"/>
                  <w:marRight w:val="0"/>
                  <w:marTop w:val="0"/>
                  <w:marBottom w:val="0"/>
                  <w:divBdr>
                    <w:top w:val="none" w:sz="0" w:space="0" w:color="auto"/>
                    <w:left w:val="none" w:sz="0" w:space="0" w:color="auto"/>
                    <w:bottom w:val="none" w:sz="0" w:space="0" w:color="auto"/>
                    <w:right w:val="none" w:sz="0" w:space="0" w:color="auto"/>
                  </w:divBdr>
                </w:div>
                <w:div w:id="258222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184797">
          <w:marLeft w:val="0"/>
          <w:marRight w:val="0"/>
          <w:marTop w:val="15"/>
          <w:marBottom w:val="0"/>
          <w:divBdr>
            <w:top w:val="none" w:sz="0" w:space="0" w:color="auto"/>
            <w:left w:val="none" w:sz="0" w:space="0" w:color="auto"/>
            <w:bottom w:val="none" w:sz="0" w:space="0" w:color="auto"/>
            <w:right w:val="none" w:sz="0" w:space="0" w:color="auto"/>
          </w:divBdr>
          <w:divsChild>
            <w:div w:id="1783918785">
              <w:marLeft w:val="0"/>
              <w:marRight w:val="0"/>
              <w:marTop w:val="0"/>
              <w:marBottom w:val="0"/>
              <w:divBdr>
                <w:top w:val="none" w:sz="0" w:space="0" w:color="auto"/>
                <w:left w:val="none" w:sz="0" w:space="0" w:color="auto"/>
                <w:bottom w:val="none" w:sz="0" w:space="0" w:color="auto"/>
                <w:right w:val="none" w:sz="0" w:space="0" w:color="auto"/>
              </w:divBdr>
              <w:divsChild>
                <w:div w:id="1734280448">
                  <w:marLeft w:val="0"/>
                  <w:marRight w:val="0"/>
                  <w:marTop w:val="0"/>
                  <w:marBottom w:val="0"/>
                  <w:divBdr>
                    <w:top w:val="none" w:sz="0" w:space="0" w:color="auto"/>
                    <w:left w:val="none" w:sz="0" w:space="0" w:color="auto"/>
                    <w:bottom w:val="none" w:sz="0" w:space="0" w:color="auto"/>
                    <w:right w:val="none" w:sz="0" w:space="0" w:color="auto"/>
                  </w:divBdr>
                </w:div>
                <w:div w:id="1405641972">
                  <w:marLeft w:val="0"/>
                  <w:marRight w:val="0"/>
                  <w:marTop w:val="0"/>
                  <w:marBottom w:val="0"/>
                  <w:divBdr>
                    <w:top w:val="none" w:sz="0" w:space="0" w:color="auto"/>
                    <w:left w:val="none" w:sz="0" w:space="0" w:color="auto"/>
                    <w:bottom w:val="none" w:sz="0" w:space="0" w:color="auto"/>
                    <w:right w:val="none" w:sz="0" w:space="0" w:color="auto"/>
                  </w:divBdr>
                </w:div>
                <w:div w:id="362292321">
                  <w:marLeft w:val="0"/>
                  <w:marRight w:val="0"/>
                  <w:marTop w:val="0"/>
                  <w:marBottom w:val="0"/>
                  <w:divBdr>
                    <w:top w:val="none" w:sz="0" w:space="0" w:color="auto"/>
                    <w:left w:val="none" w:sz="0" w:space="0" w:color="auto"/>
                    <w:bottom w:val="none" w:sz="0" w:space="0" w:color="auto"/>
                    <w:right w:val="none" w:sz="0" w:space="0" w:color="auto"/>
                  </w:divBdr>
                </w:div>
                <w:div w:id="601688100">
                  <w:marLeft w:val="0"/>
                  <w:marRight w:val="0"/>
                  <w:marTop w:val="0"/>
                  <w:marBottom w:val="0"/>
                  <w:divBdr>
                    <w:top w:val="none" w:sz="0" w:space="0" w:color="auto"/>
                    <w:left w:val="none" w:sz="0" w:space="0" w:color="auto"/>
                    <w:bottom w:val="none" w:sz="0" w:space="0" w:color="auto"/>
                    <w:right w:val="none" w:sz="0" w:space="0" w:color="auto"/>
                  </w:divBdr>
                </w:div>
                <w:div w:id="1438914707">
                  <w:marLeft w:val="0"/>
                  <w:marRight w:val="0"/>
                  <w:marTop w:val="0"/>
                  <w:marBottom w:val="0"/>
                  <w:divBdr>
                    <w:top w:val="none" w:sz="0" w:space="0" w:color="auto"/>
                    <w:left w:val="none" w:sz="0" w:space="0" w:color="auto"/>
                    <w:bottom w:val="none" w:sz="0" w:space="0" w:color="auto"/>
                    <w:right w:val="none" w:sz="0" w:space="0" w:color="auto"/>
                  </w:divBdr>
                </w:div>
                <w:div w:id="1040015748">
                  <w:marLeft w:val="0"/>
                  <w:marRight w:val="0"/>
                  <w:marTop w:val="0"/>
                  <w:marBottom w:val="0"/>
                  <w:divBdr>
                    <w:top w:val="none" w:sz="0" w:space="0" w:color="auto"/>
                    <w:left w:val="none" w:sz="0" w:space="0" w:color="auto"/>
                    <w:bottom w:val="none" w:sz="0" w:space="0" w:color="auto"/>
                    <w:right w:val="none" w:sz="0" w:space="0" w:color="auto"/>
                  </w:divBdr>
                </w:div>
                <w:div w:id="454063908">
                  <w:marLeft w:val="0"/>
                  <w:marRight w:val="0"/>
                  <w:marTop w:val="0"/>
                  <w:marBottom w:val="0"/>
                  <w:divBdr>
                    <w:top w:val="none" w:sz="0" w:space="0" w:color="auto"/>
                    <w:left w:val="none" w:sz="0" w:space="0" w:color="auto"/>
                    <w:bottom w:val="none" w:sz="0" w:space="0" w:color="auto"/>
                    <w:right w:val="none" w:sz="0" w:space="0" w:color="auto"/>
                  </w:divBdr>
                </w:div>
                <w:div w:id="1139881054">
                  <w:marLeft w:val="0"/>
                  <w:marRight w:val="0"/>
                  <w:marTop w:val="0"/>
                  <w:marBottom w:val="0"/>
                  <w:divBdr>
                    <w:top w:val="none" w:sz="0" w:space="0" w:color="auto"/>
                    <w:left w:val="none" w:sz="0" w:space="0" w:color="auto"/>
                    <w:bottom w:val="none" w:sz="0" w:space="0" w:color="auto"/>
                    <w:right w:val="none" w:sz="0" w:space="0" w:color="auto"/>
                  </w:divBdr>
                </w:div>
                <w:div w:id="267860303">
                  <w:marLeft w:val="0"/>
                  <w:marRight w:val="0"/>
                  <w:marTop w:val="0"/>
                  <w:marBottom w:val="0"/>
                  <w:divBdr>
                    <w:top w:val="none" w:sz="0" w:space="0" w:color="auto"/>
                    <w:left w:val="none" w:sz="0" w:space="0" w:color="auto"/>
                    <w:bottom w:val="none" w:sz="0" w:space="0" w:color="auto"/>
                    <w:right w:val="none" w:sz="0" w:space="0" w:color="auto"/>
                  </w:divBdr>
                </w:div>
                <w:div w:id="356128148">
                  <w:marLeft w:val="0"/>
                  <w:marRight w:val="0"/>
                  <w:marTop w:val="0"/>
                  <w:marBottom w:val="0"/>
                  <w:divBdr>
                    <w:top w:val="none" w:sz="0" w:space="0" w:color="auto"/>
                    <w:left w:val="none" w:sz="0" w:space="0" w:color="auto"/>
                    <w:bottom w:val="none" w:sz="0" w:space="0" w:color="auto"/>
                    <w:right w:val="none" w:sz="0" w:space="0" w:color="auto"/>
                  </w:divBdr>
                </w:div>
                <w:div w:id="1281457123">
                  <w:marLeft w:val="0"/>
                  <w:marRight w:val="0"/>
                  <w:marTop w:val="0"/>
                  <w:marBottom w:val="0"/>
                  <w:divBdr>
                    <w:top w:val="none" w:sz="0" w:space="0" w:color="auto"/>
                    <w:left w:val="none" w:sz="0" w:space="0" w:color="auto"/>
                    <w:bottom w:val="none" w:sz="0" w:space="0" w:color="auto"/>
                    <w:right w:val="none" w:sz="0" w:space="0" w:color="auto"/>
                  </w:divBdr>
                </w:div>
                <w:div w:id="1579318249">
                  <w:marLeft w:val="0"/>
                  <w:marRight w:val="0"/>
                  <w:marTop w:val="0"/>
                  <w:marBottom w:val="0"/>
                  <w:divBdr>
                    <w:top w:val="none" w:sz="0" w:space="0" w:color="auto"/>
                    <w:left w:val="none" w:sz="0" w:space="0" w:color="auto"/>
                    <w:bottom w:val="none" w:sz="0" w:space="0" w:color="auto"/>
                    <w:right w:val="none" w:sz="0" w:space="0" w:color="auto"/>
                  </w:divBdr>
                </w:div>
                <w:div w:id="1306620819">
                  <w:marLeft w:val="0"/>
                  <w:marRight w:val="0"/>
                  <w:marTop w:val="0"/>
                  <w:marBottom w:val="0"/>
                  <w:divBdr>
                    <w:top w:val="none" w:sz="0" w:space="0" w:color="auto"/>
                    <w:left w:val="none" w:sz="0" w:space="0" w:color="auto"/>
                    <w:bottom w:val="none" w:sz="0" w:space="0" w:color="auto"/>
                    <w:right w:val="none" w:sz="0" w:space="0" w:color="auto"/>
                  </w:divBdr>
                </w:div>
                <w:div w:id="1741319918">
                  <w:marLeft w:val="0"/>
                  <w:marRight w:val="0"/>
                  <w:marTop w:val="0"/>
                  <w:marBottom w:val="0"/>
                  <w:divBdr>
                    <w:top w:val="none" w:sz="0" w:space="0" w:color="auto"/>
                    <w:left w:val="none" w:sz="0" w:space="0" w:color="auto"/>
                    <w:bottom w:val="none" w:sz="0" w:space="0" w:color="auto"/>
                    <w:right w:val="none" w:sz="0" w:space="0" w:color="auto"/>
                  </w:divBdr>
                </w:div>
                <w:div w:id="1265765697">
                  <w:marLeft w:val="0"/>
                  <w:marRight w:val="0"/>
                  <w:marTop w:val="0"/>
                  <w:marBottom w:val="0"/>
                  <w:divBdr>
                    <w:top w:val="none" w:sz="0" w:space="0" w:color="auto"/>
                    <w:left w:val="none" w:sz="0" w:space="0" w:color="auto"/>
                    <w:bottom w:val="none" w:sz="0" w:space="0" w:color="auto"/>
                    <w:right w:val="none" w:sz="0" w:space="0" w:color="auto"/>
                  </w:divBdr>
                </w:div>
                <w:div w:id="15350888">
                  <w:marLeft w:val="0"/>
                  <w:marRight w:val="0"/>
                  <w:marTop w:val="0"/>
                  <w:marBottom w:val="0"/>
                  <w:divBdr>
                    <w:top w:val="none" w:sz="0" w:space="0" w:color="auto"/>
                    <w:left w:val="none" w:sz="0" w:space="0" w:color="auto"/>
                    <w:bottom w:val="none" w:sz="0" w:space="0" w:color="auto"/>
                    <w:right w:val="none" w:sz="0" w:space="0" w:color="auto"/>
                  </w:divBdr>
                </w:div>
                <w:div w:id="2139490919">
                  <w:marLeft w:val="0"/>
                  <w:marRight w:val="0"/>
                  <w:marTop w:val="0"/>
                  <w:marBottom w:val="0"/>
                  <w:divBdr>
                    <w:top w:val="none" w:sz="0" w:space="0" w:color="auto"/>
                    <w:left w:val="none" w:sz="0" w:space="0" w:color="auto"/>
                    <w:bottom w:val="none" w:sz="0" w:space="0" w:color="auto"/>
                    <w:right w:val="none" w:sz="0" w:space="0" w:color="auto"/>
                  </w:divBdr>
                </w:div>
                <w:div w:id="628363626">
                  <w:marLeft w:val="0"/>
                  <w:marRight w:val="0"/>
                  <w:marTop w:val="0"/>
                  <w:marBottom w:val="0"/>
                  <w:divBdr>
                    <w:top w:val="none" w:sz="0" w:space="0" w:color="auto"/>
                    <w:left w:val="none" w:sz="0" w:space="0" w:color="auto"/>
                    <w:bottom w:val="none" w:sz="0" w:space="0" w:color="auto"/>
                    <w:right w:val="none" w:sz="0" w:space="0" w:color="auto"/>
                  </w:divBdr>
                </w:div>
                <w:div w:id="659775428">
                  <w:marLeft w:val="0"/>
                  <w:marRight w:val="0"/>
                  <w:marTop w:val="0"/>
                  <w:marBottom w:val="0"/>
                  <w:divBdr>
                    <w:top w:val="none" w:sz="0" w:space="0" w:color="auto"/>
                    <w:left w:val="none" w:sz="0" w:space="0" w:color="auto"/>
                    <w:bottom w:val="none" w:sz="0" w:space="0" w:color="auto"/>
                    <w:right w:val="none" w:sz="0" w:space="0" w:color="auto"/>
                  </w:divBdr>
                </w:div>
                <w:div w:id="351029646">
                  <w:marLeft w:val="0"/>
                  <w:marRight w:val="0"/>
                  <w:marTop w:val="0"/>
                  <w:marBottom w:val="0"/>
                  <w:divBdr>
                    <w:top w:val="none" w:sz="0" w:space="0" w:color="auto"/>
                    <w:left w:val="none" w:sz="0" w:space="0" w:color="auto"/>
                    <w:bottom w:val="none" w:sz="0" w:space="0" w:color="auto"/>
                    <w:right w:val="none" w:sz="0" w:space="0" w:color="auto"/>
                  </w:divBdr>
                </w:div>
                <w:div w:id="1566717686">
                  <w:marLeft w:val="0"/>
                  <w:marRight w:val="0"/>
                  <w:marTop w:val="0"/>
                  <w:marBottom w:val="0"/>
                  <w:divBdr>
                    <w:top w:val="none" w:sz="0" w:space="0" w:color="auto"/>
                    <w:left w:val="none" w:sz="0" w:space="0" w:color="auto"/>
                    <w:bottom w:val="none" w:sz="0" w:space="0" w:color="auto"/>
                    <w:right w:val="none" w:sz="0" w:space="0" w:color="auto"/>
                  </w:divBdr>
                </w:div>
                <w:div w:id="383866953">
                  <w:marLeft w:val="0"/>
                  <w:marRight w:val="0"/>
                  <w:marTop w:val="0"/>
                  <w:marBottom w:val="0"/>
                  <w:divBdr>
                    <w:top w:val="none" w:sz="0" w:space="0" w:color="auto"/>
                    <w:left w:val="none" w:sz="0" w:space="0" w:color="auto"/>
                    <w:bottom w:val="none" w:sz="0" w:space="0" w:color="auto"/>
                    <w:right w:val="none" w:sz="0" w:space="0" w:color="auto"/>
                  </w:divBdr>
                </w:div>
                <w:div w:id="451216572">
                  <w:marLeft w:val="0"/>
                  <w:marRight w:val="0"/>
                  <w:marTop w:val="0"/>
                  <w:marBottom w:val="0"/>
                  <w:divBdr>
                    <w:top w:val="none" w:sz="0" w:space="0" w:color="auto"/>
                    <w:left w:val="none" w:sz="0" w:space="0" w:color="auto"/>
                    <w:bottom w:val="none" w:sz="0" w:space="0" w:color="auto"/>
                    <w:right w:val="none" w:sz="0" w:space="0" w:color="auto"/>
                  </w:divBdr>
                </w:div>
                <w:div w:id="811018446">
                  <w:marLeft w:val="0"/>
                  <w:marRight w:val="0"/>
                  <w:marTop w:val="0"/>
                  <w:marBottom w:val="0"/>
                  <w:divBdr>
                    <w:top w:val="none" w:sz="0" w:space="0" w:color="auto"/>
                    <w:left w:val="none" w:sz="0" w:space="0" w:color="auto"/>
                    <w:bottom w:val="none" w:sz="0" w:space="0" w:color="auto"/>
                    <w:right w:val="none" w:sz="0" w:space="0" w:color="auto"/>
                  </w:divBdr>
                </w:div>
                <w:div w:id="70978271">
                  <w:marLeft w:val="0"/>
                  <w:marRight w:val="0"/>
                  <w:marTop w:val="0"/>
                  <w:marBottom w:val="0"/>
                  <w:divBdr>
                    <w:top w:val="none" w:sz="0" w:space="0" w:color="auto"/>
                    <w:left w:val="none" w:sz="0" w:space="0" w:color="auto"/>
                    <w:bottom w:val="none" w:sz="0" w:space="0" w:color="auto"/>
                    <w:right w:val="none" w:sz="0" w:space="0" w:color="auto"/>
                  </w:divBdr>
                </w:div>
                <w:div w:id="433132668">
                  <w:marLeft w:val="0"/>
                  <w:marRight w:val="0"/>
                  <w:marTop w:val="0"/>
                  <w:marBottom w:val="0"/>
                  <w:divBdr>
                    <w:top w:val="none" w:sz="0" w:space="0" w:color="auto"/>
                    <w:left w:val="none" w:sz="0" w:space="0" w:color="auto"/>
                    <w:bottom w:val="none" w:sz="0" w:space="0" w:color="auto"/>
                    <w:right w:val="none" w:sz="0" w:space="0" w:color="auto"/>
                  </w:divBdr>
                </w:div>
                <w:div w:id="1616404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421174">
          <w:marLeft w:val="0"/>
          <w:marRight w:val="0"/>
          <w:marTop w:val="15"/>
          <w:marBottom w:val="0"/>
          <w:divBdr>
            <w:top w:val="none" w:sz="0" w:space="0" w:color="auto"/>
            <w:left w:val="none" w:sz="0" w:space="0" w:color="auto"/>
            <w:bottom w:val="none" w:sz="0" w:space="0" w:color="auto"/>
            <w:right w:val="none" w:sz="0" w:space="0" w:color="auto"/>
          </w:divBdr>
          <w:divsChild>
            <w:div w:id="1378629169">
              <w:marLeft w:val="0"/>
              <w:marRight w:val="0"/>
              <w:marTop w:val="0"/>
              <w:marBottom w:val="0"/>
              <w:divBdr>
                <w:top w:val="none" w:sz="0" w:space="0" w:color="auto"/>
                <w:left w:val="none" w:sz="0" w:space="0" w:color="auto"/>
                <w:bottom w:val="none" w:sz="0" w:space="0" w:color="auto"/>
                <w:right w:val="none" w:sz="0" w:space="0" w:color="auto"/>
              </w:divBdr>
              <w:divsChild>
                <w:div w:id="2027704512">
                  <w:marLeft w:val="0"/>
                  <w:marRight w:val="0"/>
                  <w:marTop w:val="0"/>
                  <w:marBottom w:val="0"/>
                  <w:divBdr>
                    <w:top w:val="none" w:sz="0" w:space="0" w:color="auto"/>
                    <w:left w:val="none" w:sz="0" w:space="0" w:color="auto"/>
                    <w:bottom w:val="none" w:sz="0" w:space="0" w:color="auto"/>
                    <w:right w:val="none" w:sz="0" w:space="0" w:color="auto"/>
                  </w:divBdr>
                </w:div>
                <w:div w:id="1664971891">
                  <w:marLeft w:val="0"/>
                  <w:marRight w:val="0"/>
                  <w:marTop w:val="0"/>
                  <w:marBottom w:val="0"/>
                  <w:divBdr>
                    <w:top w:val="none" w:sz="0" w:space="0" w:color="auto"/>
                    <w:left w:val="none" w:sz="0" w:space="0" w:color="auto"/>
                    <w:bottom w:val="none" w:sz="0" w:space="0" w:color="auto"/>
                    <w:right w:val="none" w:sz="0" w:space="0" w:color="auto"/>
                  </w:divBdr>
                </w:div>
                <w:div w:id="214699716">
                  <w:marLeft w:val="0"/>
                  <w:marRight w:val="0"/>
                  <w:marTop w:val="0"/>
                  <w:marBottom w:val="0"/>
                  <w:divBdr>
                    <w:top w:val="none" w:sz="0" w:space="0" w:color="auto"/>
                    <w:left w:val="none" w:sz="0" w:space="0" w:color="auto"/>
                    <w:bottom w:val="none" w:sz="0" w:space="0" w:color="auto"/>
                    <w:right w:val="none" w:sz="0" w:space="0" w:color="auto"/>
                  </w:divBdr>
                </w:div>
                <w:div w:id="2119257107">
                  <w:marLeft w:val="0"/>
                  <w:marRight w:val="0"/>
                  <w:marTop w:val="0"/>
                  <w:marBottom w:val="0"/>
                  <w:divBdr>
                    <w:top w:val="none" w:sz="0" w:space="0" w:color="auto"/>
                    <w:left w:val="none" w:sz="0" w:space="0" w:color="auto"/>
                    <w:bottom w:val="none" w:sz="0" w:space="0" w:color="auto"/>
                    <w:right w:val="none" w:sz="0" w:space="0" w:color="auto"/>
                  </w:divBdr>
                </w:div>
                <w:div w:id="291522786">
                  <w:marLeft w:val="0"/>
                  <w:marRight w:val="0"/>
                  <w:marTop w:val="0"/>
                  <w:marBottom w:val="0"/>
                  <w:divBdr>
                    <w:top w:val="none" w:sz="0" w:space="0" w:color="auto"/>
                    <w:left w:val="none" w:sz="0" w:space="0" w:color="auto"/>
                    <w:bottom w:val="none" w:sz="0" w:space="0" w:color="auto"/>
                    <w:right w:val="none" w:sz="0" w:space="0" w:color="auto"/>
                  </w:divBdr>
                </w:div>
                <w:div w:id="879710176">
                  <w:marLeft w:val="0"/>
                  <w:marRight w:val="0"/>
                  <w:marTop w:val="0"/>
                  <w:marBottom w:val="0"/>
                  <w:divBdr>
                    <w:top w:val="none" w:sz="0" w:space="0" w:color="auto"/>
                    <w:left w:val="none" w:sz="0" w:space="0" w:color="auto"/>
                    <w:bottom w:val="none" w:sz="0" w:space="0" w:color="auto"/>
                    <w:right w:val="none" w:sz="0" w:space="0" w:color="auto"/>
                  </w:divBdr>
                </w:div>
                <w:div w:id="1766851062">
                  <w:marLeft w:val="0"/>
                  <w:marRight w:val="0"/>
                  <w:marTop w:val="0"/>
                  <w:marBottom w:val="0"/>
                  <w:divBdr>
                    <w:top w:val="none" w:sz="0" w:space="0" w:color="auto"/>
                    <w:left w:val="none" w:sz="0" w:space="0" w:color="auto"/>
                    <w:bottom w:val="none" w:sz="0" w:space="0" w:color="auto"/>
                    <w:right w:val="none" w:sz="0" w:space="0" w:color="auto"/>
                  </w:divBdr>
                </w:div>
                <w:div w:id="803162465">
                  <w:marLeft w:val="0"/>
                  <w:marRight w:val="0"/>
                  <w:marTop w:val="0"/>
                  <w:marBottom w:val="0"/>
                  <w:divBdr>
                    <w:top w:val="none" w:sz="0" w:space="0" w:color="auto"/>
                    <w:left w:val="none" w:sz="0" w:space="0" w:color="auto"/>
                    <w:bottom w:val="none" w:sz="0" w:space="0" w:color="auto"/>
                    <w:right w:val="none" w:sz="0" w:space="0" w:color="auto"/>
                  </w:divBdr>
                </w:div>
                <w:div w:id="986134310">
                  <w:marLeft w:val="0"/>
                  <w:marRight w:val="0"/>
                  <w:marTop w:val="0"/>
                  <w:marBottom w:val="0"/>
                  <w:divBdr>
                    <w:top w:val="none" w:sz="0" w:space="0" w:color="auto"/>
                    <w:left w:val="none" w:sz="0" w:space="0" w:color="auto"/>
                    <w:bottom w:val="none" w:sz="0" w:space="0" w:color="auto"/>
                    <w:right w:val="none" w:sz="0" w:space="0" w:color="auto"/>
                  </w:divBdr>
                </w:div>
                <w:div w:id="1170800709">
                  <w:marLeft w:val="0"/>
                  <w:marRight w:val="0"/>
                  <w:marTop w:val="0"/>
                  <w:marBottom w:val="0"/>
                  <w:divBdr>
                    <w:top w:val="none" w:sz="0" w:space="0" w:color="auto"/>
                    <w:left w:val="none" w:sz="0" w:space="0" w:color="auto"/>
                    <w:bottom w:val="none" w:sz="0" w:space="0" w:color="auto"/>
                    <w:right w:val="none" w:sz="0" w:space="0" w:color="auto"/>
                  </w:divBdr>
                </w:div>
                <w:div w:id="1832063556">
                  <w:marLeft w:val="0"/>
                  <w:marRight w:val="0"/>
                  <w:marTop w:val="0"/>
                  <w:marBottom w:val="0"/>
                  <w:divBdr>
                    <w:top w:val="none" w:sz="0" w:space="0" w:color="auto"/>
                    <w:left w:val="none" w:sz="0" w:space="0" w:color="auto"/>
                    <w:bottom w:val="none" w:sz="0" w:space="0" w:color="auto"/>
                    <w:right w:val="none" w:sz="0" w:space="0" w:color="auto"/>
                  </w:divBdr>
                </w:div>
                <w:div w:id="1226650038">
                  <w:marLeft w:val="0"/>
                  <w:marRight w:val="0"/>
                  <w:marTop w:val="0"/>
                  <w:marBottom w:val="0"/>
                  <w:divBdr>
                    <w:top w:val="none" w:sz="0" w:space="0" w:color="auto"/>
                    <w:left w:val="none" w:sz="0" w:space="0" w:color="auto"/>
                    <w:bottom w:val="none" w:sz="0" w:space="0" w:color="auto"/>
                    <w:right w:val="none" w:sz="0" w:space="0" w:color="auto"/>
                  </w:divBdr>
                </w:div>
                <w:div w:id="525876230">
                  <w:marLeft w:val="0"/>
                  <w:marRight w:val="0"/>
                  <w:marTop w:val="0"/>
                  <w:marBottom w:val="0"/>
                  <w:divBdr>
                    <w:top w:val="none" w:sz="0" w:space="0" w:color="auto"/>
                    <w:left w:val="none" w:sz="0" w:space="0" w:color="auto"/>
                    <w:bottom w:val="none" w:sz="0" w:space="0" w:color="auto"/>
                    <w:right w:val="none" w:sz="0" w:space="0" w:color="auto"/>
                  </w:divBdr>
                </w:div>
                <w:div w:id="1099638795">
                  <w:marLeft w:val="0"/>
                  <w:marRight w:val="0"/>
                  <w:marTop w:val="0"/>
                  <w:marBottom w:val="0"/>
                  <w:divBdr>
                    <w:top w:val="none" w:sz="0" w:space="0" w:color="auto"/>
                    <w:left w:val="none" w:sz="0" w:space="0" w:color="auto"/>
                    <w:bottom w:val="none" w:sz="0" w:space="0" w:color="auto"/>
                    <w:right w:val="none" w:sz="0" w:space="0" w:color="auto"/>
                  </w:divBdr>
                </w:div>
                <w:div w:id="1420982549">
                  <w:marLeft w:val="0"/>
                  <w:marRight w:val="0"/>
                  <w:marTop w:val="0"/>
                  <w:marBottom w:val="0"/>
                  <w:divBdr>
                    <w:top w:val="none" w:sz="0" w:space="0" w:color="auto"/>
                    <w:left w:val="none" w:sz="0" w:space="0" w:color="auto"/>
                    <w:bottom w:val="none" w:sz="0" w:space="0" w:color="auto"/>
                    <w:right w:val="none" w:sz="0" w:space="0" w:color="auto"/>
                  </w:divBdr>
                </w:div>
                <w:div w:id="999501497">
                  <w:marLeft w:val="0"/>
                  <w:marRight w:val="0"/>
                  <w:marTop w:val="0"/>
                  <w:marBottom w:val="0"/>
                  <w:divBdr>
                    <w:top w:val="none" w:sz="0" w:space="0" w:color="auto"/>
                    <w:left w:val="none" w:sz="0" w:space="0" w:color="auto"/>
                    <w:bottom w:val="none" w:sz="0" w:space="0" w:color="auto"/>
                    <w:right w:val="none" w:sz="0" w:space="0" w:color="auto"/>
                  </w:divBdr>
                </w:div>
                <w:div w:id="184560430">
                  <w:marLeft w:val="0"/>
                  <w:marRight w:val="0"/>
                  <w:marTop w:val="0"/>
                  <w:marBottom w:val="0"/>
                  <w:divBdr>
                    <w:top w:val="none" w:sz="0" w:space="0" w:color="auto"/>
                    <w:left w:val="none" w:sz="0" w:space="0" w:color="auto"/>
                    <w:bottom w:val="none" w:sz="0" w:space="0" w:color="auto"/>
                    <w:right w:val="none" w:sz="0" w:space="0" w:color="auto"/>
                  </w:divBdr>
                </w:div>
                <w:div w:id="695009668">
                  <w:marLeft w:val="0"/>
                  <w:marRight w:val="0"/>
                  <w:marTop w:val="0"/>
                  <w:marBottom w:val="0"/>
                  <w:divBdr>
                    <w:top w:val="none" w:sz="0" w:space="0" w:color="auto"/>
                    <w:left w:val="none" w:sz="0" w:space="0" w:color="auto"/>
                    <w:bottom w:val="none" w:sz="0" w:space="0" w:color="auto"/>
                    <w:right w:val="none" w:sz="0" w:space="0" w:color="auto"/>
                  </w:divBdr>
                </w:div>
                <w:div w:id="943153755">
                  <w:marLeft w:val="0"/>
                  <w:marRight w:val="0"/>
                  <w:marTop w:val="0"/>
                  <w:marBottom w:val="0"/>
                  <w:divBdr>
                    <w:top w:val="none" w:sz="0" w:space="0" w:color="auto"/>
                    <w:left w:val="none" w:sz="0" w:space="0" w:color="auto"/>
                    <w:bottom w:val="none" w:sz="0" w:space="0" w:color="auto"/>
                    <w:right w:val="none" w:sz="0" w:space="0" w:color="auto"/>
                  </w:divBdr>
                </w:div>
                <w:div w:id="1416046749">
                  <w:marLeft w:val="0"/>
                  <w:marRight w:val="0"/>
                  <w:marTop w:val="0"/>
                  <w:marBottom w:val="0"/>
                  <w:divBdr>
                    <w:top w:val="none" w:sz="0" w:space="0" w:color="auto"/>
                    <w:left w:val="none" w:sz="0" w:space="0" w:color="auto"/>
                    <w:bottom w:val="none" w:sz="0" w:space="0" w:color="auto"/>
                    <w:right w:val="none" w:sz="0" w:space="0" w:color="auto"/>
                  </w:divBdr>
                </w:div>
                <w:div w:id="645668171">
                  <w:marLeft w:val="0"/>
                  <w:marRight w:val="0"/>
                  <w:marTop w:val="0"/>
                  <w:marBottom w:val="0"/>
                  <w:divBdr>
                    <w:top w:val="none" w:sz="0" w:space="0" w:color="auto"/>
                    <w:left w:val="none" w:sz="0" w:space="0" w:color="auto"/>
                    <w:bottom w:val="none" w:sz="0" w:space="0" w:color="auto"/>
                    <w:right w:val="none" w:sz="0" w:space="0" w:color="auto"/>
                  </w:divBdr>
                </w:div>
                <w:div w:id="1521043030">
                  <w:marLeft w:val="0"/>
                  <w:marRight w:val="0"/>
                  <w:marTop w:val="0"/>
                  <w:marBottom w:val="0"/>
                  <w:divBdr>
                    <w:top w:val="none" w:sz="0" w:space="0" w:color="auto"/>
                    <w:left w:val="none" w:sz="0" w:space="0" w:color="auto"/>
                    <w:bottom w:val="none" w:sz="0" w:space="0" w:color="auto"/>
                    <w:right w:val="none" w:sz="0" w:space="0" w:color="auto"/>
                  </w:divBdr>
                </w:div>
                <w:div w:id="2057582535">
                  <w:marLeft w:val="0"/>
                  <w:marRight w:val="0"/>
                  <w:marTop w:val="0"/>
                  <w:marBottom w:val="0"/>
                  <w:divBdr>
                    <w:top w:val="none" w:sz="0" w:space="0" w:color="auto"/>
                    <w:left w:val="none" w:sz="0" w:space="0" w:color="auto"/>
                    <w:bottom w:val="none" w:sz="0" w:space="0" w:color="auto"/>
                    <w:right w:val="none" w:sz="0" w:space="0" w:color="auto"/>
                  </w:divBdr>
                </w:div>
                <w:div w:id="1944150375">
                  <w:marLeft w:val="0"/>
                  <w:marRight w:val="0"/>
                  <w:marTop w:val="0"/>
                  <w:marBottom w:val="0"/>
                  <w:divBdr>
                    <w:top w:val="none" w:sz="0" w:space="0" w:color="auto"/>
                    <w:left w:val="none" w:sz="0" w:space="0" w:color="auto"/>
                    <w:bottom w:val="none" w:sz="0" w:space="0" w:color="auto"/>
                    <w:right w:val="none" w:sz="0" w:space="0" w:color="auto"/>
                  </w:divBdr>
                </w:div>
                <w:div w:id="1216236534">
                  <w:marLeft w:val="0"/>
                  <w:marRight w:val="0"/>
                  <w:marTop w:val="0"/>
                  <w:marBottom w:val="0"/>
                  <w:divBdr>
                    <w:top w:val="none" w:sz="0" w:space="0" w:color="auto"/>
                    <w:left w:val="none" w:sz="0" w:space="0" w:color="auto"/>
                    <w:bottom w:val="none" w:sz="0" w:space="0" w:color="auto"/>
                    <w:right w:val="none" w:sz="0" w:space="0" w:color="auto"/>
                  </w:divBdr>
                </w:div>
                <w:div w:id="698898344">
                  <w:marLeft w:val="0"/>
                  <w:marRight w:val="0"/>
                  <w:marTop w:val="0"/>
                  <w:marBottom w:val="0"/>
                  <w:divBdr>
                    <w:top w:val="none" w:sz="0" w:space="0" w:color="auto"/>
                    <w:left w:val="none" w:sz="0" w:space="0" w:color="auto"/>
                    <w:bottom w:val="none" w:sz="0" w:space="0" w:color="auto"/>
                    <w:right w:val="none" w:sz="0" w:space="0" w:color="auto"/>
                  </w:divBdr>
                </w:div>
                <w:div w:id="17452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049970">
          <w:marLeft w:val="0"/>
          <w:marRight w:val="0"/>
          <w:marTop w:val="15"/>
          <w:marBottom w:val="0"/>
          <w:divBdr>
            <w:top w:val="none" w:sz="0" w:space="0" w:color="auto"/>
            <w:left w:val="none" w:sz="0" w:space="0" w:color="auto"/>
            <w:bottom w:val="none" w:sz="0" w:space="0" w:color="auto"/>
            <w:right w:val="none" w:sz="0" w:space="0" w:color="auto"/>
          </w:divBdr>
          <w:divsChild>
            <w:div w:id="95178880">
              <w:marLeft w:val="0"/>
              <w:marRight w:val="0"/>
              <w:marTop w:val="0"/>
              <w:marBottom w:val="0"/>
              <w:divBdr>
                <w:top w:val="none" w:sz="0" w:space="0" w:color="auto"/>
                <w:left w:val="none" w:sz="0" w:space="0" w:color="auto"/>
                <w:bottom w:val="none" w:sz="0" w:space="0" w:color="auto"/>
                <w:right w:val="none" w:sz="0" w:space="0" w:color="auto"/>
              </w:divBdr>
              <w:divsChild>
                <w:div w:id="1879319389">
                  <w:marLeft w:val="0"/>
                  <w:marRight w:val="0"/>
                  <w:marTop w:val="0"/>
                  <w:marBottom w:val="0"/>
                  <w:divBdr>
                    <w:top w:val="none" w:sz="0" w:space="0" w:color="auto"/>
                    <w:left w:val="none" w:sz="0" w:space="0" w:color="auto"/>
                    <w:bottom w:val="none" w:sz="0" w:space="0" w:color="auto"/>
                    <w:right w:val="none" w:sz="0" w:space="0" w:color="auto"/>
                  </w:divBdr>
                </w:div>
                <w:div w:id="968121625">
                  <w:marLeft w:val="0"/>
                  <w:marRight w:val="0"/>
                  <w:marTop w:val="0"/>
                  <w:marBottom w:val="0"/>
                  <w:divBdr>
                    <w:top w:val="none" w:sz="0" w:space="0" w:color="auto"/>
                    <w:left w:val="none" w:sz="0" w:space="0" w:color="auto"/>
                    <w:bottom w:val="none" w:sz="0" w:space="0" w:color="auto"/>
                    <w:right w:val="none" w:sz="0" w:space="0" w:color="auto"/>
                  </w:divBdr>
                </w:div>
                <w:div w:id="589894860">
                  <w:marLeft w:val="0"/>
                  <w:marRight w:val="0"/>
                  <w:marTop w:val="0"/>
                  <w:marBottom w:val="0"/>
                  <w:divBdr>
                    <w:top w:val="none" w:sz="0" w:space="0" w:color="auto"/>
                    <w:left w:val="none" w:sz="0" w:space="0" w:color="auto"/>
                    <w:bottom w:val="none" w:sz="0" w:space="0" w:color="auto"/>
                    <w:right w:val="none" w:sz="0" w:space="0" w:color="auto"/>
                  </w:divBdr>
                </w:div>
                <w:div w:id="1697580529">
                  <w:marLeft w:val="0"/>
                  <w:marRight w:val="0"/>
                  <w:marTop w:val="0"/>
                  <w:marBottom w:val="0"/>
                  <w:divBdr>
                    <w:top w:val="none" w:sz="0" w:space="0" w:color="auto"/>
                    <w:left w:val="none" w:sz="0" w:space="0" w:color="auto"/>
                    <w:bottom w:val="none" w:sz="0" w:space="0" w:color="auto"/>
                    <w:right w:val="none" w:sz="0" w:space="0" w:color="auto"/>
                  </w:divBdr>
                </w:div>
                <w:div w:id="2088569277">
                  <w:marLeft w:val="0"/>
                  <w:marRight w:val="0"/>
                  <w:marTop w:val="0"/>
                  <w:marBottom w:val="0"/>
                  <w:divBdr>
                    <w:top w:val="none" w:sz="0" w:space="0" w:color="auto"/>
                    <w:left w:val="none" w:sz="0" w:space="0" w:color="auto"/>
                    <w:bottom w:val="none" w:sz="0" w:space="0" w:color="auto"/>
                    <w:right w:val="none" w:sz="0" w:space="0" w:color="auto"/>
                  </w:divBdr>
                </w:div>
                <w:div w:id="858474209">
                  <w:marLeft w:val="0"/>
                  <w:marRight w:val="0"/>
                  <w:marTop w:val="0"/>
                  <w:marBottom w:val="0"/>
                  <w:divBdr>
                    <w:top w:val="none" w:sz="0" w:space="0" w:color="auto"/>
                    <w:left w:val="none" w:sz="0" w:space="0" w:color="auto"/>
                    <w:bottom w:val="none" w:sz="0" w:space="0" w:color="auto"/>
                    <w:right w:val="none" w:sz="0" w:space="0" w:color="auto"/>
                  </w:divBdr>
                </w:div>
                <w:div w:id="1001737240">
                  <w:marLeft w:val="0"/>
                  <w:marRight w:val="0"/>
                  <w:marTop w:val="0"/>
                  <w:marBottom w:val="0"/>
                  <w:divBdr>
                    <w:top w:val="none" w:sz="0" w:space="0" w:color="auto"/>
                    <w:left w:val="none" w:sz="0" w:space="0" w:color="auto"/>
                    <w:bottom w:val="none" w:sz="0" w:space="0" w:color="auto"/>
                    <w:right w:val="none" w:sz="0" w:space="0" w:color="auto"/>
                  </w:divBdr>
                </w:div>
                <w:div w:id="1235356770">
                  <w:marLeft w:val="0"/>
                  <w:marRight w:val="0"/>
                  <w:marTop w:val="0"/>
                  <w:marBottom w:val="0"/>
                  <w:divBdr>
                    <w:top w:val="none" w:sz="0" w:space="0" w:color="auto"/>
                    <w:left w:val="none" w:sz="0" w:space="0" w:color="auto"/>
                    <w:bottom w:val="none" w:sz="0" w:space="0" w:color="auto"/>
                    <w:right w:val="none" w:sz="0" w:space="0" w:color="auto"/>
                  </w:divBdr>
                </w:div>
                <w:div w:id="304354092">
                  <w:marLeft w:val="0"/>
                  <w:marRight w:val="0"/>
                  <w:marTop w:val="0"/>
                  <w:marBottom w:val="0"/>
                  <w:divBdr>
                    <w:top w:val="none" w:sz="0" w:space="0" w:color="auto"/>
                    <w:left w:val="none" w:sz="0" w:space="0" w:color="auto"/>
                    <w:bottom w:val="none" w:sz="0" w:space="0" w:color="auto"/>
                    <w:right w:val="none" w:sz="0" w:space="0" w:color="auto"/>
                  </w:divBdr>
                </w:div>
                <w:div w:id="2041977291">
                  <w:marLeft w:val="0"/>
                  <w:marRight w:val="0"/>
                  <w:marTop w:val="0"/>
                  <w:marBottom w:val="0"/>
                  <w:divBdr>
                    <w:top w:val="none" w:sz="0" w:space="0" w:color="auto"/>
                    <w:left w:val="none" w:sz="0" w:space="0" w:color="auto"/>
                    <w:bottom w:val="none" w:sz="0" w:space="0" w:color="auto"/>
                    <w:right w:val="none" w:sz="0" w:space="0" w:color="auto"/>
                  </w:divBdr>
                </w:div>
                <w:div w:id="261423887">
                  <w:marLeft w:val="0"/>
                  <w:marRight w:val="0"/>
                  <w:marTop w:val="0"/>
                  <w:marBottom w:val="0"/>
                  <w:divBdr>
                    <w:top w:val="none" w:sz="0" w:space="0" w:color="auto"/>
                    <w:left w:val="none" w:sz="0" w:space="0" w:color="auto"/>
                    <w:bottom w:val="none" w:sz="0" w:space="0" w:color="auto"/>
                    <w:right w:val="none" w:sz="0" w:space="0" w:color="auto"/>
                  </w:divBdr>
                </w:div>
                <w:div w:id="1467233105">
                  <w:marLeft w:val="0"/>
                  <w:marRight w:val="0"/>
                  <w:marTop w:val="0"/>
                  <w:marBottom w:val="0"/>
                  <w:divBdr>
                    <w:top w:val="none" w:sz="0" w:space="0" w:color="auto"/>
                    <w:left w:val="none" w:sz="0" w:space="0" w:color="auto"/>
                    <w:bottom w:val="none" w:sz="0" w:space="0" w:color="auto"/>
                    <w:right w:val="none" w:sz="0" w:space="0" w:color="auto"/>
                  </w:divBdr>
                </w:div>
                <w:div w:id="1216619303">
                  <w:marLeft w:val="0"/>
                  <w:marRight w:val="0"/>
                  <w:marTop w:val="0"/>
                  <w:marBottom w:val="0"/>
                  <w:divBdr>
                    <w:top w:val="none" w:sz="0" w:space="0" w:color="auto"/>
                    <w:left w:val="none" w:sz="0" w:space="0" w:color="auto"/>
                    <w:bottom w:val="none" w:sz="0" w:space="0" w:color="auto"/>
                    <w:right w:val="none" w:sz="0" w:space="0" w:color="auto"/>
                  </w:divBdr>
                </w:div>
                <w:div w:id="596987591">
                  <w:marLeft w:val="0"/>
                  <w:marRight w:val="0"/>
                  <w:marTop w:val="0"/>
                  <w:marBottom w:val="0"/>
                  <w:divBdr>
                    <w:top w:val="none" w:sz="0" w:space="0" w:color="auto"/>
                    <w:left w:val="none" w:sz="0" w:space="0" w:color="auto"/>
                    <w:bottom w:val="none" w:sz="0" w:space="0" w:color="auto"/>
                    <w:right w:val="none" w:sz="0" w:space="0" w:color="auto"/>
                  </w:divBdr>
                </w:div>
                <w:div w:id="1211768635">
                  <w:marLeft w:val="0"/>
                  <w:marRight w:val="0"/>
                  <w:marTop w:val="0"/>
                  <w:marBottom w:val="0"/>
                  <w:divBdr>
                    <w:top w:val="none" w:sz="0" w:space="0" w:color="auto"/>
                    <w:left w:val="none" w:sz="0" w:space="0" w:color="auto"/>
                    <w:bottom w:val="none" w:sz="0" w:space="0" w:color="auto"/>
                    <w:right w:val="none" w:sz="0" w:space="0" w:color="auto"/>
                  </w:divBdr>
                </w:div>
                <w:div w:id="771316776">
                  <w:marLeft w:val="0"/>
                  <w:marRight w:val="0"/>
                  <w:marTop w:val="0"/>
                  <w:marBottom w:val="0"/>
                  <w:divBdr>
                    <w:top w:val="none" w:sz="0" w:space="0" w:color="auto"/>
                    <w:left w:val="none" w:sz="0" w:space="0" w:color="auto"/>
                    <w:bottom w:val="none" w:sz="0" w:space="0" w:color="auto"/>
                    <w:right w:val="none" w:sz="0" w:space="0" w:color="auto"/>
                  </w:divBdr>
                </w:div>
                <w:div w:id="101926158">
                  <w:marLeft w:val="0"/>
                  <w:marRight w:val="0"/>
                  <w:marTop w:val="0"/>
                  <w:marBottom w:val="0"/>
                  <w:divBdr>
                    <w:top w:val="none" w:sz="0" w:space="0" w:color="auto"/>
                    <w:left w:val="none" w:sz="0" w:space="0" w:color="auto"/>
                    <w:bottom w:val="none" w:sz="0" w:space="0" w:color="auto"/>
                    <w:right w:val="none" w:sz="0" w:space="0" w:color="auto"/>
                  </w:divBdr>
                </w:div>
                <w:div w:id="956059191">
                  <w:marLeft w:val="0"/>
                  <w:marRight w:val="0"/>
                  <w:marTop w:val="0"/>
                  <w:marBottom w:val="0"/>
                  <w:divBdr>
                    <w:top w:val="none" w:sz="0" w:space="0" w:color="auto"/>
                    <w:left w:val="none" w:sz="0" w:space="0" w:color="auto"/>
                    <w:bottom w:val="none" w:sz="0" w:space="0" w:color="auto"/>
                    <w:right w:val="none" w:sz="0" w:space="0" w:color="auto"/>
                  </w:divBdr>
                </w:div>
                <w:div w:id="786898676">
                  <w:marLeft w:val="0"/>
                  <w:marRight w:val="0"/>
                  <w:marTop w:val="0"/>
                  <w:marBottom w:val="0"/>
                  <w:divBdr>
                    <w:top w:val="none" w:sz="0" w:space="0" w:color="auto"/>
                    <w:left w:val="none" w:sz="0" w:space="0" w:color="auto"/>
                    <w:bottom w:val="none" w:sz="0" w:space="0" w:color="auto"/>
                    <w:right w:val="none" w:sz="0" w:space="0" w:color="auto"/>
                  </w:divBdr>
                </w:div>
                <w:div w:id="320541821">
                  <w:marLeft w:val="0"/>
                  <w:marRight w:val="0"/>
                  <w:marTop w:val="0"/>
                  <w:marBottom w:val="0"/>
                  <w:divBdr>
                    <w:top w:val="none" w:sz="0" w:space="0" w:color="auto"/>
                    <w:left w:val="none" w:sz="0" w:space="0" w:color="auto"/>
                    <w:bottom w:val="none" w:sz="0" w:space="0" w:color="auto"/>
                    <w:right w:val="none" w:sz="0" w:space="0" w:color="auto"/>
                  </w:divBdr>
                </w:div>
                <w:div w:id="366293814">
                  <w:marLeft w:val="0"/>
                  <w:marRight w:val="0"/>
                  <w:marTop w:val="0"/>
                  <w:marBottom w:val="0"/>
                  <w:divBdr>
                    <w:top w:val="none" w:sz="0" w:space="0" w:color="auto"/>
                    <w:left w:val="none" w:sz="0" w:space="0" w:color="auto"/>
                    <w:bottom w:val="none" w:sz="0" w:space="0" w:color="auto"/>
                    <w:right w:val="none" w:sz="0" w:space="0" w:color="auto"/>
                  </w:divBdr>
                </w:div>
                <w:div w:id="653609563">
                  <w:marLeft w:val="0"/>
                  <w:marRight w:val="0"/>
                  <w:marTop w:val="0"/>
                  <w:marBottom w:val="0"/>
                  <w:divBdr>
                    <w:top w:val="none" w:sz="0" w:space="0" w:color="auto"/>
                    <w:left w:val="none" w:sz="0" w:space="0" w:color="auto"/>
                    <w:bottom w:val="none" w:sz="0" w:space="0" w:color="auto"/>
                    <w:right w:val="none" w:sz="0" w:space="0" w:color="auto"/>
                  </w:divBdr>
                </w:div>
                <w:div w:id="604535358">
                  <w:marLeft w:val="0"/>
                  <w:marRight w:val="0"/>
                  <w:marTop w:val="0"/>
                  <w:marBottom w:val="0"/>
                  <w:divBdr>
                    <w:top w:val="none" w:sz="0" w:space="0" w:color="auto"/>
                    <w:left w:val="none" w:sz="0" w:space="0" w:color="auto"/>
                    <w:bottom w:val="none" w:sz="0" w:space="0" w:color="auto"/>
                    <w:right w:val="none" w:sz="0" w:space="0" w:color="auto"/>
                  </w:divBdr>
                </w:div>
                <w:div w:id="1090589978">
                  <w:marLeft w:val="0"/>
                  <w:marRight w:val="0"/>
                  <w:marTop w:val="0"/>
                  <w:marBottom w:val="0"/>
                  <w:divBdr>
                    <w:top w:val="none" w:sz="0" w:space="0" w:color="auto"/>
                    <w:left w:val="none" w:sz="0" w:space="0" w:color="auto"/>
                    <w:bottom w:val="none" w:sz="0" w:space="0" w:color="auto"/>
                    <w:right w:val="none" w:sz="0" w:space="0" w:color="auto"/>
                  </w:divBdr>
                </w:div>
                <w:div w:id="545685148">
                  <w:marLeft w:val="0"/>
                  <w:marRight w:val="0"/>
                  <w:marTop w:val="0"/>
                  <w:marBottom w:val="0"/>
                  <w:divBdr>
                    <w:top w:val="none" w:sz="0" w:space="0" w:color="auto"/>
                    <w:left w:val="none" w:sz="0" w:space="0" w:color="auto"/>
                    <w:bottom w:val="none" w:sz="0" w:space="0" w:color="auto"/>
                    <w:right w:val="none" w:sz="0" w:space="0" w:color="auto"/>
                  </w:divBdr>
                </w:div>
                <w:div w:id="1361012444">
                  <w:marLeft w:val="0"/>
                  <w:marRight w:val="0"/>
                  <w:marTop w:val="0"/>
                  <w:marBottom w:val="0"/>
                  <w:divBdr>
                    <w:top w:val="none" w:sz="0" w:space="0" w:color="auto"/>
                    <w:left w:val="none" w:sz="0" w:space="0" w:color="auto"/>
                    <w:bottom w:val="none" w:sz="0" w:space="0" w:color="auto"/>
                    <w:right w:val="none" w:sz="0" w:space="0" w:color="auto"/>
                  </w:divBdr>
                </w:div>
                <w:div w:id="569392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175546">
          <w:marLeft w:val="0"/>
          <w:marRight w:val="0"/>
          <w:marTop w:val="15"/>
          <w:marBottom w:val="0"/>
          <w:divBdr>
            <w:top w:val="none" w:sz="0" w:space="0" w:color="auto"/>
            <w:left w:val="none" w:sz="0" w:space="0" w:color="auto"/>
            <w:bottom w:val="none" w:sz="0" w:space="0" w:color="auto"/>
            <w:right w:val="none" w:sz="0" w:space="0" w:color="auto"/>
          </w:divBdr>
          <w:divsChild>
            <w:div w:id="1978367330">
              <w:marLeft w:val="0"/>
              <w:marRight w:val="0"/>
              <w:marTop w:val="0"/>
              <w:marBottom w:val="0"/>
              <w:divBdr>
                <w:top w:val="none" w:sz="0" w:space="0" w:color="auto"/>
                <w:left w:val="none" w:sz="0" w:space="0" w:color="auto"/>
                <w:bottom w:val="none" w:sz="0" w:space="0" w:color="auto"/>
                <w:right w:val="none" w:sz="0" w:space="0" w:color="auto"/>
              </w:divBdr>
              <w:divsChild>
                <w:div w:id="1648048802">
                  <w:marLeft w:val="0"/>
                  <w:marRight w:val="0"/>
                  <w:marTop w:val="0"/>
                  <w:marBottom w:val="0"/>
                  <w:divBdr>
                    <w:top w:val="none" w:sz="0" w:space="0" w:color="auto"/>
                    <w:left w:val="none" w:sz="0" w:space="0" w:color="auto"/>
                    <w:bottom w:val="none" w:sz="0" w:space="0" w:color="auto"/>
                    <w:right w:val="none" w:sz="0" w:space="0" w:color="auto"/>
                  </w:divBdr>
                </w:div>
                <w:div w:id="1770200312">
                  <w:marLeft w:val="0"/>
                  <w:marRight w:val="0"/>
                  <w:marTop w:val="0"/>
                  <w:marBottom w:val="0"/>
                  <w:divBdr>
                    <w:top w:val="none" w:sz="0" w:space="0" w:color="auto"/>
                    <w:left w:val="none" w:sz="0" w:space="0" w:color="auto"/>
                    <w:bottom w:val="none" w:sz="0" w:space="0" w:color="auto"/>
                    <w:right w:val="none" w:sz="0" w:space="0" w:color="auto"/>
                  </w:divBdr>
                </w:div>
                <w:div w:id="1635135052">
                  <w:marLeft w:val="0"/>
                  <w:marRight w:val="0"/>
                  <w:marTop w:val="0"/>
                  <w:marBottom w:val="0"/>
                  <w:divBdr>
                    <w:top w:val="none" w:sz="0" w:space="0" w:color="auto"/>
                    <w:left w:val="none" w:sz="0" w:space="0" w:color="auto"/>
                    <w:bottom w:val="none" w:sz="0" w:space="0" w:color="auto"/>
                    <w:right w:val="none" w:sz="0" w:space="0" w:color="auto"/>
                  </w:divBdr>
                </w:div>
                <w:div w:id="859274877">
                  <w:marLeft w:val="0"/>
                  <w:marRight w:val="0"/>
                  <w:marTop w:val="0"/>
                  <w:marBottom w:val="0"/>
                  <w:divBdr>
                    <w:top w:val="none" w:sz="0" w:space="0" w:color="auto"/>
                    <w:left w:val="none" w:sz="0" w:space="0" w:color="auto"/>
                    <w:bottom w:val="none" w:sz="0" w:space="0" w:color="auto"/>
                    <w:right w:val="none" w:sz="0" w:space="0" w:color="auto"/>
                  </w:divBdr>
                </w:div>
                <w:div w:id="1031420194">
                  <w:marLeft w:val="0"/>
                  <w:marRight w:val="0"/>
                  <w:marTop w:val="0"/>
                  <w:marBottom w:val="0"/>
                  <w:divBdr>
                    <w:top w:val="none" w:sz="0" w:space="0" w:color="auto"/>
                    <w:left w:val="none" w:sz="0" w:space="0" w:color="auto"/>
                    <w:bottom w:val="none" w:sz="0" w:space="0" w:color="auto"/>
                    <w:right w:val="none" w:sz="0" w:space="0" w:color="auto"/>
                  </w:divBdr>
                </w:div>
                <w:div w:id="1903980022">
                  <w:marLeft w:val="0"/>
                  <w:marRight w:val="0"/>
                  <w:marTop w:val="0"/>
                  <w:marBottom w:val="0"/>
                  <w:divBdr>
                    <w:top w:val="none" w:sz="0" w:space="0" w:color="auto"/>
                    <w:left w:val="none" w:sz="0" w:space="0" w:color="auto"/>
                    <w:bottom w:val="none" w:sz="0" w:space="0" w:color="auto"/>
                    <w:right w:val="none" w:sz="0" w:space="0" w:color="auto"/>
                  </w:divBdr>
                </w:div>
                <w:div w:id="517695247">
                  <w:marLeft w:val="0"/>
                  <w:marRight w:val="0"/>
                  <w:marTop w:val="0"/>
                  <w:marBottom w:val="0"/>
                  <w:divBdr>
                    <w:top w:val="none" w:sz="0" w:space="0" w:color="auto"/>
                    <w:left w:val="none" w:sz="0" w:space="0" w:color="auto"/>
                    <w:bottom w:val="none" w:sz="0" w:space="0" w:color="auto"/>
                    <w:right w:val="none" w:sz="0" w:space="0" w:color="auto"/>
                  </w:divBdr>
                </w:div>
                <w:div w:id="1660965699">
                  <w:marLeft w:val="0"/>
                  <w:marRight w:val="0"/>
                  <w:marTop w:val="0"/>
                  <w:marBottom w:val="0"/>
                  <w:divBdr>
                    <w:top w:val="none" w:sz="0" w:space="0" w:color="auto"/>
                    <w:left w:val="none" w:sz="0" w:space="0" w:color="auto"/>
                    <w:bottom w:val="none" w:sz="0" w:space="0" w:color="auto"/>
                    <w:right w:val="none" w:sz="0" w:space="0" w:color="auto"/>
                  </w:divBdr>
                </w:div>
                <w:div w:id="1659503311">
                  <w:marLeft w:val="0"/>
                  <w:marRight w:val="0"/>
                  <w:marTop w:val="0"/>
                  <w:marBottom w:val="0"/>
                  <w:divBdr>
                    <w:top w:val="none" w:sz="0" w:space="0" w:color="auto"/>
                    <w:left w:val="none" w:sz="0" w:space="0" w:color="auto"/>
                    <w:bottom w:val="none" w:sz="0" w:space="0" w:color="auto"/>
                    <w:right w:val="none" w:sz="0" w:space="0" w:color="auto"/>
                  </w:divBdr>
                </w:div>
                <w:div w:id="977223538">
                  <w:marLeft w:val="0"/>
                  <w:marRight w:val="0"/>
                  <w:marTop w:val="0"/>
                  <w:marBottom w:val="0"/>
                  <w:divBdr>
                    <w:top w:val="none" w:sz="0" w:space="0" w:color="auto"/>
                    <w:left w:val="none" w:sz="0" w:space="0" w:color="auto"/>
                    <w:bottom w:val="none" w:sz="0" w:space="0" w:color="auto"/>
                    <w:right w:val="none" w:sz="0" w:space="0" w:color="auto"/>
                  </w:divBdr>
                </w:div>
                <w:div w:id="526023318">
                  <w:marLeft w:val="0"/>
                  <w:marRight w:val="0"/>
                  <w:marTop w:val="0"/>
                  <w:marBottom w:val="0"/>
                  <w:divBdr>
                    <w:top w:val="none" w:sz="0" w:space="0" w:color="auto"/>
                    <w:left w:val="none" w:sz="0" w:space="0" w:color="auto"/>
                    <w:bottom w:val="none" w:sz="0" w:space="0" w:color="auto"/>
                    <w:right w:val="none" w:sz="0" w:space="0" w:color="auto"/>
                  </w:divBdr>
                </w:div>
                <w:div w:id="2043820869">
                  <w:marLeft w:val="0"/>
                  <w:marRight w:val="0"/>
                  <w:marTop w:val="0"/>
                  <w:marBottom w:val="0"/>
                  <w:divBdr>
                    <w:top w:val="none" w:sz="0" w:space="0" w:color="auto"/>
                    <w:left w:val="none" w:sz="0" w:space="0" w:color="auto"/>
                    <w:bottom w:val="none" w:sz="0" w:space="0" w:color="auto"/>
                    <w:right w:val="none" w:sz="0" w:space="0" w:color="auto"/>
                  </w:divBdr>
                </w:div>
                <w:div w:id="1397438267">
                  <w:marLeft w:val="0"/>
                  <w:marRight w:val="0"/>
                  <w:marTop w:val="0"/>
                  <w:marBottom w:val="0"/>
                  <w:divBdr>
                    <w:top w:val="none" w:sz="0" w:space="0" w:color="auto"/>
                    <w:left w:val="none" w:sz="0" w:space="0" w:color="auto"/>
                    <w:bottom w:val="none" w:sz="0" w:space="0" w:color="auto"/>
                    <w:right w:val="none" w:sz="0" w:space="0" w:color="auto"/>
                  </w:divBdr>
                </w:div>
                <w:div w:id="1607543916">
                  <w:marLeft w:val="0"/>
                  <w:marRight w:val="0"/>
                  <w:marTop w:val="0"/>
                  <w:marBottom w:val="0"/>
                  <w:divBdr>
                    <w:top w:val="none" w:sz="0" w:space="0" w:color="auto"/>
                    <w:left w:val="none" w:sz="0" w:space="0" w:color="auto"/>
                    <w:bottom w:val="none" w:sz="0" w:space="0" w:color="auto"/>
                    <w:right w:val="none" w:sz="0" w:space="0" w:color="auto"/>
                  </w:divBdr>
                </w:div>
                <w:div w:id="1276326776">
                  <w:marLeft w:val="0"/>
                  <w:marRight w:val="0"/>
                  <w:marTop w:val="0"/>
                  <w:marBottom w:val="0"/>
                  <w:divBdr>
                    <w:top w:val="none" w:sz="0" w:space="0" w:color="auto"/>
                    <w:left w:val="none" w:sz="0" w:space="0" w:color="auto"/>
                    <w:bottom w:val="none" w:sz="0" w:space="0" w:color="auto"/>
                    <w:right w:val="none" w:sz="0" w:space="0" w:color="auto"/>
                  </w:divBdr>
                </w:div>
                <w:div w:id="394354344">
                  <w:marLeft w:val="0"/>
                  <w:marRight w:val="0"/>
                  <w:marTop w:val="0"/>
                  <w:marBottom w:val="0"/>
                  <w:divBdr>
                    <w:top w:val="none" w:sz="0" w:space="0" w:color="auto"/>
                    <w:left w:val="none" w:sz="0" w:space="0" w:color="auto"/>
                    <w:bottom w:val="none" w:sz="0" w:space="0" w:color="auto"/>
                    <w:right w:val="none" w:sz="0" w:space="0" w:color="auto"/>
                  </w:divBdr>
                </w:div>
                <w:div w:id="14236478">
                  <w:marLeft w:val="0"/>
                  <w:marRight w:val="0"/>
                  <w:marTop w:val="0"/>
                  <w:marBottom w:val="0"/>
                  <w:divBdr>
                    <w:top w:val="none" w:sz="0" w:space="0" w:color="auto"/>
                    <w:left w:val="none" w:sz="0" w:space="0" w:color="auto"/>
                    <w:bottom w:val="none" w:sz="0" w:space="0" w:color="auto"/>
                    <w:right w:val="none" w:sz="0" w:space="0" w:color="auto"/>
                  </w:divBdr>
                </w:div>
                <w:div w:id="1387021945">
                  <w:marLeft w:val="0"/>
                  <w:marRight w:val="0"/>
                  <w:marTop w:val="0"/>
                  <w:marBottom w:val="0"/>
                  <w:divBdr>
                    <w:top w:val="none" w:sz="0" w:space="0" w:color="auto"/>
                    <w:left w:val="none" w:sz="0" w:space="0" w:color="auto"/>
                    <w:bottom w:val="none" w:sz="0" w:space="0" w:color="auto"/>
                    <w:right w:val="none" w:sz="0" w:space="0" w:color="auto"/>
                  </w:divBdr>
                </w:div>
                <w:div w:id="725029012">
                  <w:marLeft w:val="0"/>
                  <w:marRight w:val="0"/>
                  <w:marTop w:val="0"/>
                  <w:marBottom w:val="0"/>
                  <w:divBdr>
                    <w:top w:val="none" w:sz="0" w:space="0" w:color="auto"/>
                    <w:left w:val="none" w:sz="0" w:space="0" w:color="auto"/>
                    <w:bottom w:val="none" w:sz="0" w:space="0" w:color="auto"/>
                    <w:right w:val="none" w:sz="0" w:space="0" w:color="auto"/>
                  </w:divBdr>
                </w:div>
                <w:div w:id="2020498358">
                  <w:marLeft w:val="0"/>
                  <w:marRight w:val="0"/>
                  <w:marTop w:val="0"/>
                  <w:marBottom w:val="0"/>
                  <w:divBdr>
                    <w:top w:val="none" w:sz="0" w:space="0" w:color="auto"/>
                    <w:left w:val="none" w:sz="0" w:space="0" w:color="auto"/>
                    <w:bottom w:val="none" w:sz="0" w:space="0" w:color="auto"/>
                    <w:right w:val="none" w:sz="0" w:space="0" w:color="auto"/>
                  </w:divBdr>
                </w:div>
                <w:div w:id="187378602">
                  <w:marLeft w:val="0"/>
                  <w:marRight w:val="0"/>
                  <w:marTop w:val="0"/>
                  <w:marBottom w:val="0"/>
                  <w:divBdr>
                    <w:top w:val="none" w:sz="0" w:space="0" w:color="auto"/>
                    <w:left w:val="none" w:sz="0" w:space="0" w:color="auto"/>
                    <w:bottom w:val="none" w:sz="0" w:space="0" w:color="auto"/>
                    <w:right w:val="none" w:sz="0" w:space="0" w:color="auto"/>
                  </w:divBdr>
                </w:div>
                <w:div w:id="607853334">
                  <w:marLeft w:val="0"/>
                  <w:marRight w:val="0"/>
                  <w:marTop w:val="0"/>
                  <w:marBottom w:val="0"/>
                  <w:divBdr>
                    <w:top w:val="none" w:sz="0" w:space="0" w:color="auto"/>
                    <w:left w:val="none" w:sz="0" w:space="0" w:color="auto"/>
                    <w:bottom w:val="none" w:sz="0" w:space="0" w:color="auto"/>
                    <w:right w:val="none" w:sz="0" w:space="0" w:color="auto"/>
                  </w:divBdr>
                </w:div>
                <w:div w:id="1038746729">
                  <w:marLeft w:val="0"/>
                  <w:marRight w:val="0"/>
                  <w:marTop w:val="0"/>
                  <w:marBottom w:val="0"/>
                  <w:divBdr>
                    <w:top w:val="none" w:sz="0" w:space="0" w:color="auto"/>
                    <w:left w:val="none" w:sz="0" w:space="0" w:color="auto"/>
                    <w:bottom w:val="none" w:sz="0" w:space="0" w:color="auto"/>
                    <w:right w:val="none" w:sz="0" w:space="0" w:color="auto"/>
                  </w:divBdr>
                </w:div>
                <w:div w:id="1005329885">
                  <w:marLeft w:val="0"/>
                  <w:marRight w:val="0"/>
                  <w:marTop w:val="0"/>
                  <w:marBottom w:val="0"/>
                  <w:divBdr>
                    <w:top w:val="none" w:sz="0" w:space="0" w:color="auto"/>
                    <w:left w:val="none" w:sz="0" w:space="0" w:color="auto"/>
                    <w:bottom w:val="none" w:sz="0" w:space="0" w:color="auto"/>
                    <w:right w:val="none" w:sz="0" w:space="0" w:color="auto"/>
                  </w:divBdr>
                </w:div>
                <w:div w:id="837158865">
                  <w:marLeft w:val="0"/>
                  <w:marRight w:val="0"/>
                  <w:marTop w:val="0"/>
                  <w:marBottom w:val="0"/>
                  <w:divBdr>
                    <w:top w:val="none" w:sz="0" w:space="0" w:color="auto"/>
                    <w:left w:val="none" w:sz="0" w:space="0" w:color="auto"/>
                    <w:bottom w:val="none" w:sz="0" w:space="0" w:color="auto"/>
                    <w:right w:val="none" w:sz="0" w:space="0" w:color="auto"/>
                  </w:divBdr>
                </w:div>
                <w:div w:id="1557206264">
                  <w:marLeft w:val="0"/>
                  <w:marRight w:val="0"/>
                  <w:marTop w:val="0"/>
                  <w:marBottom w:val="0"/>
                  <w:divBdr>
                    <w:top w:val="none" w:sz="0" w:space="0" w:color="auto"/>
                    <w:left w:val="none" w:sz="0" w:space="0" w:color="auto"/>
                    <w:bottom w:val="none" w:sz="0" w:space="0" w:color="auto"/>
                    <w:right w:val="none" w:sz="0" w:space="0" w:color="auto"/>
                  </w:divBdr>
                </w:div>
                <w:div w:id="159318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581231">
          <w:marLeft w:val="0"/>
          <w:marRight w:val="0"/>
          <w:marTop w:val="15"/>
          <w:marBottom w:val="0"/>
          <w:divBdr>
            <w:top w:val="none" w:sz="0" w:space="0" w:color="auto"/>
            <w:left w:val="none" w:sz="0" w:space="0" w:color="auto"/>
            <w:bottom w:val="none" w:sz="0" w:space="0" w:color="auto"/>
            <w:right w:val="none" w:sz="0" w:space="0" w:color="auto"/>
          </w:divBdr>
          <w:divsChild>
            <w:div w:id="1485463744">
              <w:marLeft w:val="0"/>
              <w:marRight w:val="0"/>
              <w:marTop w:val="0"/>
              <w:marBottom w:val="0"/>
              <w:divBdr>
                <w:top w:val="none" w:sz="0" w:space="0" w:color="auto"/>
                <w:left w:val="none" w:sz="0" w:space="0" w:color="auto"/>
                <w:bottom w:val="none" w:sz="0" w:space="0" w:color="auto"/>
                <w:right w:val="none" w:sz="0" w:space="0" w:color="auto"/>
              </w:divBdr>
              <w:divsChild>
                <w:div w:id="1852722860">
                  <w:marLeft w:val="0"/>
                  <w:marRight w:val="0"/>
                  <w:marTop w:val="0"/>
                  <w:marBottom w:val="0"/>
                  <w:divBdr>
                    <w:top w:val="none" w:sz="0" w:space="0" w:color="auto"/>
                    <w:left w:val="none" w:sz="0" w:space="0" w:color="auto"/>
                    <w:bottom w:val="none" w:sz="0" w:space="0" w:color="auto"/>
                    <w:right w:val="none" w:sz="0" w:space="0" w:color="auto"/>
                  </w:divBdr>
                </w:div>
                <w:div w:id="938369213">
                  <w:marLeft w:val="0"/>
                  <w:marRight w:val="0"/>
                  <w:marTop w:val="0"/>
                  <w:marBottom w:val="0"/>
                  <w:divBdr>
                    <w:top w:val="none" w:sz="0" w:space="0" w:color="auto"/>
                    <w:left w:val="none" w:sz="0" w:space="0" w:color="auto"/>
                    <w:bottom w:val="none" w:sz="0" w:space="0" w:color="auto"/>
                    <w:right w:val="none" w:sz="0" w:space="0" w:color="auto"/>
                  </w:divBdr>
                </w:div>
                <w:div w:id="1199124623">
                  <w:marLeft w:val="0"/>
                  <w:marRight w:val="0"/>
                  <w:marTop w:val="0"/>
                  <w:marBottom w:val="0"/>
                  <w:divBdr>
                    <w:top w:val="none" w:sz="0" w:space="0" w:color="auto"/>
                    <w:left w:val="none" w:sz="0" w:space="0" w:color="auto"/>
                    <w:bottom w:val="none" w:sz="0" w:space="0" w:color="auto"/>
                    <w:right w:val="none" w:sz="0" w:space="0" w:color="auto"/>
                  </w:divBdr>
                </w:div>
                <w:div w:id="1999726551">
                  <w:marLeft w:val="0"/>
                  <w:marRight w:val="0"/>
                  <w:marTop w:val="0"/>
                  <w:marBottom w:val="0"/>
                  <w:divBdr>
                    <w:top w:val="none" w:sz="0" w:space="0" w:color="auto"/>
                    <w:left w:val="none" w:sz="0" w:space="0" w:color="auto"/>
                    <w:bottom w:val="none" w:sz="0" w:space="0" w:color="auto"/>
                    <w:right w:val="none" w:sz="0" w:space="0" w:color="auto"/>
                  </w:divBdr>
                </w:div>
                <w:div w:id="1454444209">
                  <w:marLeft w:val="0"/>
                  <w:marRight w:val="0"/>
                  <w:marTop w:val="0"/>
                  <w:marBottom w:val="0"/>
                  <w:divBdr>
                    <w:top w:val="none" w:sz="0" w:space="0" w:color="auto"/>
                    <w:left w:val="none" w:sz="0" w:space="0" w:color="auto"/>
                    <w:bottom w:val="none" w:sz="0" w:space="0" w:color="auto"/>
                    <w:right w:val="none" w:sz="0" w:space="0" w:color="auto"/>
                  </w:divBdr>
                </w:div>
                <w:div w:id="611013833">
                  <w:marLeft w:val="0"/>
                  <w:marRight w:val="0"/>
                  <w:marTop w:val="0"/>
                  <w:marBottom w:val="0"/>
                  <w:divBdr>
                    <w:top w:val="none" w:sz="0" w:space="0" w:color="auto"/>
                    <w:left w:val="none" w:sz="0" w:space="0" w:color="auto"/>
                    <w:bottom w:val="none" w:sz="0" w:space="0" w:color="auto"/>
                    <w:right w:val="none" w:sz="0" w:space="0" w:color="auto"/>
                  </w:divBdr>
                </w:div>
                <w:div w:id="1017923402">
                  <w:marLeft w:val="0"/>
                  <w:marRight w:val="0"/>
                  <w:marTop w:val="0"/>
                  <w:marBottom w:val="0"/>
                  <w:divBdr>
                    <w:top w:val="none" w:sz="0" w:space="0" w:color="auto"/>
                    <w:left w:val="none" w:sz="0" w:space="0" w:color="auto"/>
                    <w:bottom w:val="none" w:sz="0" w:space="0" w:color="auto"/>
                    <w:right w:val="none" w:sz="0" w:space="0" w:color="auto"/>
                  </w:divBdr>
                </w:div>
                <w:div w:id="2006203657">
                  <w:marLeft w:val="0"/>
                  <w:marRight w:val="0"/>
                  <w:marTop w:val="0"/>
                  <w:marBottom w:val="0"/>
                  <w:divBdr>
                    <w:top w:val="none" w:sz="0" w:space="0" w:color="auto"/>
                    <w:left w:val="none" w:sz="0" w:space="0" w:color="auto"/>
                    <w:bottom w:val="none" w:sz="0" w:space="0" w:color="auto"/>
                    <w:right w:val="none" w:sz="0" w:space="0" w:color="auto"/>
                  </w:divBdr>
                </w:div>
                <w:div w:id="252593131">
                  <w:marLeft w:val="0"/>
                  <w:marRight w:val="0"/>
                  <w:marTop w:val="0"/>
                  <w:marBottom w:val="0"/>
                  <w:divBdr>
                    <w:top w:val="none" w:sz="0" w:space="0" w:color="auto"/>
                    <w:left w:val="none" w:sz="0" w:space="0" w:color="auto"/>
                    <w:bottom w:val="none" w:sz="0" w:space="0" w:color="auto"/>
                    <w:right w:val="none" w:sz="0" w:space="0" w:color="auto"/>
                  </w:divBdr>
                </w:div>
                <w:div w:id="471559640">
                  <w:marLeft w:val="0"/>
                  <w:marRight w:val="0"/>
                  <w:marTop w:val="0"/>
                  <w:marBottom w:val="0"/>
                  <w:divBdr>
                    <w:top w:val="none" w:sz="0" w:space="0" w:color="auto"/>
                    <w:left w:val="none" w:sz="0" w:space="0" w:color="auto"/>
                    <w:bottom w:val="none" w:sz="0" w:space="0" w:color="auto"/>
                    <w:right w:val="none" w:sz="0" w:space="0" w:color="auto"/>
                  </w:divBdr>
                </w:div>
                <w:div w:id="353729641">
                  <w:marLeft w:val="0"/>
                  <w:marRight w:val="0"/>
                  <w:marTop w:val="0"/>
                  <w:marBottom w:val="0"/>
                  <w:divBdr>
                    <w:top w:val="none" w:sz="0" w:space="0" w:color="auto"/>
                    <w:left w:val="none" w:sz="0" w:space="0" w:color="auto"/>
                    <w:bottom w:val="none" w:sz="0" w:space="0" w:color="auto"/>
                    <w:right w:val="none" w:sz="0" w:space="0" w:color="auto"/>
                  </w:divBdr>
                </w:div>
                <w:div w:id="2087338701">
                  <w:marLeft w:val="0"/>
                  <w:marRight w:val="0"/>
                  <w:marTop w:val="0"/>
                  <w:marBottom w:val="0"/>
                  <w:divBdr>
                    <w:top w:val="none" w:sz="0" w:space="0" w:color="auto"/>
                    <w:left w:val="none" w:sz="0" w:space="0" w:color="auto"/>
                    <w:bottom w:val="none" w:sz="0" w:space="0" w:color="auto"/>
                    <w:right w:val="none" w:sz="0" w:space="0" w:color="auto"/>
                  </w:divBdr>
                </w:div>
                <w:div w:id="1067189562">
                  <w:marLeft w:val="0"/>
                  <w:marRight w:val="0"/>
                  <w:marTop w:val="0"/>
                  <w:marBottom w:val="0"/>
                  <w:divBdr>
                    <w:top w:val="none" w:sz="0" w:space="0" w:color="auto"/>
                    <w:left w:val="none" w:sz="0" w:space="0" w:color="auto"/>
                    <w:bottom w:val="none" w:sz="0" w:space="0" w:color="auto"/>
                    <w:right w:val="none" w:sz="0" w:space="0" w:color="auto"/>
                  </w:divBdr>
                </w:div>
                <w:div w:id="408692891">
                  <w:marLeft w:val="0"/>
                  <w:marRight w:val="0"/>
                  <w:marTop w:val="0"/>
                  <w:marBottom w:val="0"/>
                  <w:divBdr>
                    <w:top w:val="none" w:sz="0" w:space="0" w:color="auto"/>
                    <w:left w:val="none" w:sz="0" w:space="0" w:color="auto"/>
                    <w:bottom w:val="none" w:sz="0" w:space="0" w:color="auto"/>
                    <w:right w:val="none" w:sz="0" w:space="0" w:color="auto"/>
                  </w:divBdr>
                </w:div>
                <w:div w:id="1440953741">
                  <w:marLeft w:val="0"/>
                  <w:marRight w:val="0"/>
                  <w:marTop w:val="0"/>
                  <w:marBottom w:val="0"/>
                  <w:divBdr>
                    <w:top w:val="none" w:sz="0" w:space="0" w:color="auto"/>
                    <w:left w:val="none" w:sz="0" w:space="0" w:color="auto"/>
                    <w:bottom w:val="none" w:sz="0" w:space="0" w:color="auto"/>
                    <w:right w:val="none" w:sz="0" w:space="0" w:color="auto"/>
                  </w:divBdr>
                </w:div>
                <w:div w:id="1815834213">
                  <w:marLeft w:val="0"/>
                  <w:marRight w:val="0"/>
                  <w:marTop w:val="0"/>
                  <w:marBottom w:val="0"/>
                  <w:divBdr>
                    <w:top w:val="none" w:sz="0" w:space="0" w:color="auto"/>
                    <w:left w:val="none" w:sz="0" w:space="0" w:color="auto"/>
                    <w:bottom w:val="none" w:sz="0" w:space="0" w:color="auto"/>
                    <w:right w:val="none" w:sz="0" w:space="0" w:color="auto"/>
                  </w:divBdr>
                </w:div>
                <w:div w:id="1193104862">
                  <w:marLeft w:val="0"/>
                  <w:marRight w:val="0"/>
                  <w:marTop w:val="0"/>
                  <w:marBottom w:val="0"/>
                  <w:divBdr>
                    <w:top w:val="none" w:sz="0" w:space="0" w:color="auto"/>
                    <w:left w:val="none" w:sz="0" w:space="0" w:color="auto"/>
                    <w:bottom w:val="none" w:sz="0" w:space="0" w:color="auto"/>
                    <w:right w:val="none" w:sz="0" w:space="0" w:color="auto"/>
                  </w:divBdr>
                </w:div>
                <w:div w:id="1313801194">
                  <w:marLeft w:val="0"/>
                  <w:marRight w:val="0"/>
                  <w:marTop w:val="0"/>
                  <w:marBottom w:val="0"/>
                  <w:divBdr>
                    <w:top w:val="none" w:sz="0" w:space="0" w:color="auto"/>
                    <w:left w:val="none" w:sz="0" w:space="0" w:color="auto"/>
                    <w:bottom w:val="none" w:sz="0" w:space="0" w:color="auto"/>
                    <w:right w:val="none" w:sz="0" w:space="0" w:color="auto"/>
                  </w:divBdr>
                </w:div>
                <w:div w:id="908418550">
                  <w:marLeft w:val="0"/>
                  <w:marRight w:val="0"/>
                  <w:marTop w:val="0"/>
                  <w:marBottom w:val="0"/>
                  <w:divBdr>
                    <w:top w:val="none" w:sz="0" w:space="0" w:color="auto"/>
                    <w:left w:val="none" w:sz="0" w:space="0" w:color="auto"/>
                    <w:bottom w:val="none" w:sz="0" w:space="0" w:color="auto"/>
                    <w:right w:val="none" w:sz="0" w:space="0" w:color="auto"/>
                  </w:divBdr>
                </w:div>
                <w:div w:id="1407996237">
                  <w:marLeft w:val="0"/>
                  <w:marRight w:val="0"/>
                  <w:marTop w:val="0"/>
                  <w:marBottom w:val="0"/>
                  <w:divBdr>
                    <w:top w:val="none" w:sz="0" w:space="0" w:color="auto"/>
                    <w:left w:val="none" w:sz="0" w:space="0" w:color="auto"/>
                    <w:bottom w:val="none" w:sz="0" w:space="0" w:color="auto"/>
                    <w:right w:val="none" w:sz="0" w:space="0" w:color="auto"/>
                  </w:divBdr>
                </w:div>
                <w:div w:id="283272168">
                  <w:marLeft w:val="0"/>
                  <w:marRight w:val="0"/>
                  <w:marTop w:val="0"/>
                  <w:marBottom w:val="0"/>
                  <w:divBdr>
                    <w:top w:val="none" w:sz="0" w:space="0" w:color="auto"/>
                    <w:left w:val="none" w:sz="0" w:space="0" w:color="auto"/>
                    <w:bottom w:val="none" w:sz="0" w:space="0" w:color="auto"/>
                    <w:right w:val="none" w:sz="0" w:space="0" w:color="auto"/>
                  </w:divBdr>
                </w:div>
                <w:div w:id="1946960491">
                  <w:marLeft w:val="0"/>
                  <w:marRight w:val="0"/>
                  <w:marTop w:val="0"/>
                  <w:marBottom w:val="0"/>
                  <w:divBdr>
                    <w:top w:val="none" w:sz="0" w:space="0" w:color="auto"/>
                    <w:left w:val="none" w:sz="0" w:space="0" w:color="auto"/>
                    <w:bottom w:val="none" w:sz="0" w:space="0" w:color="auto"/>
                    <w:right w:val="none" w:sz="0" w:space="0" w:color="auto"/>
                  </w:divBdr>
                </w:div>
                <w:div w:id="255292580">
                  <w:marLeft w:val="0"/>
                  <w:marRight w:val="0"/>
                  <w:marTop w:val="0"/>
                  <w:marBottom w:val="0"/>
                  <w:divBdr>
                    <w:top w:val="none" w:sz="0" w:space="0" w:color="auto"/>
                    <w:left w:val="none" w:sz="0" w:space="0" w:color="auto"/>
                    <w:bottom w:val="none" w:sz="0" w:space="0" w:color="auto"/>
                    <w:right w:val="none" w:sz="0" w:space="0" w:color="auto"/>
                  </w:divBdr>
                </w:div>
                <w:div w:id="1970696257">
                  <w:marLeft w:val="0"/>
                  <w:marRight w:val="0"/>
                  <w:marTop w:val="0"/>
                  <w:marBottom w:val="0"/>
                  <w:divBdr>
                    <w:top w:val="none" w:sz="0" w:space="0" w:color="auto"/>
                    <w:left w:val="none" w:sz="0" w:space="0" w:color="auto"/>
                    <w:bottom w:val="none" w:sz="0" w:space="0" w:color="auto"/>
                    <w:right w:val="none" w:sz="0" w:space="0" w:color="auto"/>
                  </w:divBdr>
                </w:div>
                <w:div w:id="617109758">
                  <w:marLeft w:val="0"/>
                  <w:marRight w:val="0"/>
                  <w:marTop w:val="0"/>
                  <w:marBottom w:val="0"/>
                  <w:divBdr>
                    <w:top w:val="none" w:sz="0" w:space="0" w:color="auto"/>
                    <w:left w:val="none" w:sz="0" w:space="0" w:color="auto"/>
                    <w:bottom w:val="none" w:sz="0" w:space="0" w:color="auto"/>
                    <w:right w:val="none" w:sz="0" w:space="0" w:color="auto"/>
                  </w:divBdr>
                </w:div>
                <w:div w:id="709451151">
                  <w:marLeft w:val="0"/>
                  <w:marRight w:val="0"/>
                  <w:marTop w:val="0"/>
                  <w:marBottom w:val="0"/>
                  <w:divBdr>
                    <w:top w:val="none" w:sz="0" w:space="0" w:color="auto"/>
                    <w:left w:val="none" w:sz="0" w:space="0" w:color="auto"/>
                    <w:bottom w:val="none" w:sz="0" w:space="0" w:color="auto"/>
                    <w:right w:val="none" w:sz="0" w:space="0" w:color="auto"/>
                  </w:divBdr>
                </w:div>
                <w:div w:id="1243684292">
                  <w:marLeft w:val="0"/>
                  <w:marRight w:val="0"/>
                  <w:marTop w:val="0"/>
                  <w:marBottom w:val="0"/>
                  <w:divBdr>
                    <w:top w:val="none" w:sz="0" w:space="0" w:color="auto"/>
                    <w:left w:val="none" w:sz="0" w:space="0" w:color="auto"/>
                    <w:bottom w:val="none" w:sz="0" w:space="0" w:color="auto"/>
                    <w:right w:val="none" w:sz="0" w:space="0" w:color="auto"/>
                  </w:divBdr>
                </w:div>
                <w:div w:id="2051564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294496">
          <w:marLeft w:val="0"/>
          <w:marRight w:val="0"/>
          <w:marTop w:val="15"/>
          <w:marBottom w:val="0"/>
          <w:divBdr>
            <w:top w:val="none" w:sz="0" w:space="0" w:color="auto"/>
            <w:left w:val="none" w:sz="0" w:space="0" w:color="auto"/>
            <w:bottom w:val="none" w:sz="0" w:space="0" w:color="auto"/>
            <w:right w:val="none" w:sz="0" w:space="0" w:color="auto"/>
          </w:divBdr>
          <w:divsChild>
            <w:div w:id="1836260341">
              <w:marLeft w:val="0"/>
              <w:marRight w:val="0"/>
              <w:marTop w:val="0"/>
              <w:marBottom w:val="0"/>
              <w:divBdr>
                <w:top w:val="none" w:sz="0" w:space="0" w:color="auto"/>
                <w:left w:val="none" w:sz="0" w:space="0" w:color="auto"/>
                <w:bottom w:val="none" w:sz="0" w:space="0" w:color="auto"/>
                <w:right w:val="none" w:sz="0" w:space="0" w:color="auto"/>
              </w:divBdr>
              <w:divsChild>
                <w:div w:id="1124689945">
                  <w:marLeft w:val="0"/>
                  <w:marRight w:val="0"/>
                  <w:marTop w:val="0"/>
                  <w:marBottom w:val="0"/>
                  <w:divBdr>
                    <w:top w:val="none" w:sz="0" w:space="0" w:color="auto"/>
                    <w:left w:val="none" w:sz="0" w:space="0" w:color="auto"/>
                    <w:bottom w:val="none" w:sz="0" w:space="0" w:color="auto"/>
                    <w:right w:val="none" w:sz="0" w:space="0" w:color="auto"/>
                  </w:divBdr>
                </w:div>
                <w:div w:id="880945758">
                  <w:marLeft w:val="0"/>
                  <w:marRight w:val="0"/>
                  <w:marTop w:val="0"/>
                  <w:marBottom w:val="0"/>
                  <w:divBdr>
                    <w:top w:val="none" w:sz="0" w:space="0" w:color="auto"/>
                    <w:left w:val="none" w:sz="0" w:space="0" w:color="auto"/>
                    <w:bottom w:val="none" w:sz="0" w:space="0" w:color="auto"/>
                    <w:right w:val="none" w:sz="0" w:space="0" w:color="auto"/>
                  </w:divBdr>
                </w:div>
                <w:div w:id="1525485205">
                  <w:marLeft w:val="0"/>
                  <w:marRight w:val="0"/>
                  <w:marTop w:val="0"/>
                  <w:marBottom w:val="0"/>
                  <w:divBdr>
                    <w:top w:val="none" w:sz="0" w:space="0" w:color="auto"/>
                    <w:left w:val="none" w:sz="0" w:space="0" w:color="auto"/>
                    <w:bottom w:val="none" w:sz="0" w:space="0" w:color="auto"/>
                    <w:right w:val="none" w:sz="0" w:space="0" w:color="auto"/>
                  </w:divBdr>
                </w:div>
                <w:div w:id="44332791">
                  <w:marLeft w:val="0"/>
                  <w:marRight w:val="0"/>
                  <w:marTop w:val="0"/>
                  <w:marBottom w:val="0"/>
                  <w:divBdr>
                    <w:top w:val="none" w:sz="0" w:space="0" w:color="auto"/>
                    <w:left w:val="none" w:sz="0" w:space="0" w:color="auto"/>
                    <w:bottom w:val="none" w:sz="0" w:space="0" w:color="auto"/>
                    <w:right w:val="none" w:sz="0" w:space="0" w:color="auto"/>
                  </w:divBdr>
                </w:div>
                <w:div w:id="180749324">
                  <w:marLeft w:val="0"/>
                  <w:marRight w:val="0"/>
                  <w:marTop w:val="0"/>
                  <w:marBottom w:val="0"/>
                  <w:divBdr>
                    <w:top w:val="none" w:sz="0" w:space="0" w:color="auto"/>
                    <w:left w:val="none" w:sz="0" w:space="0" w:color="auto"/>
                    <w:bottom w:val="none" w:sz="0" w:space="0" w:color="auto"/>
                    <w:right w:val="none" w:sz="0" w:space="0" w:color="auto"/>
                  </w:divBdr>
                </w:div>
                <w:div w:id="1031494283">
                  <w:marLeft w:val="0"/>
                  <w:marRight w:val="0"/>
                  <w:marTop w:val="0"/>
                  <w:marBottom w:val="0"/>
                  <w:divBdr>
                    <w:top w:val="none" w:sz="0" w:space="0" w:color="auto"/>
                    <w:left w:val="none" w:sz="0" w:space="0" w:color="auto"/>
                    <w:bottom w:val="none" w:sz="0" w:space="0" w:color="auto"/>
                    <w:right w:val="none" w:sz="0" w:space="0" w:color="auto"/>
                  </w:divBdr>
                </w:div>
                <w:div w:id="899294076">
                  <w:marLeft w:val="0"/>
                  <w:marRight w:val="0"/>
                  <w:marTop w:val="0"/>
                  <w:marBottom w:val="0"/>
                  <w:divBdr>
                    <w:top w:val="none" w:sz="0" w:space="0" w:color="auto"/>
                    <w:left w:val="none" w:sz="0" w:space="0" w:color="auto"/>
                    <w:bottom w:val="none" w:sz="0" w:space="0" w:color="auto"/>
                    <w:right w:val="none" w:sz="0" w:space="0" w:color="auto"/>
                  </w:divBdr>
                </w:div>
                <w:div w:id="1672639807">
                  <w:marLeft w:val="0"/>
                  <w:marRight w:val="0"/>
                  <w:marTop w:val="0"/>
                  <w:marBottom w:val="0"/>
                  <w:divBdr>
                    <w:top w:val="none" w:sz="0" w:space="0" w:color="auto"/>
                    <w:left w:val="none" w:sz="0" w:space="0" w:color="auto"/>
                    <w:bottom w:val="none" w:sz="0" w:space="0" w:color="auto"/>
                    <w:right w:val="none" w:sz="0" w:space="0" w:color="auto"/>
                  </w:divBdr>
                </w:div>
                <w:div w:id="298414250">
                  <w:marLeft w:val="0"/>
                  <w:marRight w:val="0"/>
                  <w:marTop w:val="0"/>
                  <w:marBottom w:val="0"/>
                  <w:divBdr>
                    <w:top w:val="none" w:sz="0" w:space="0" w:color="auto"/>
                    <w:left w:val="none" w:sz="0" w:space="0" w:color="auto"/>
                    <w:bottom w:val="none" w:sz="0" w:space="0" w:color="auto"/>
                    <w:right w:val="none" w:sz="0" w:space="0" w:color="auto"/>
                  </w:divBdr>
                </w:div>
                <w:div w:id="1537962511">
                  <w:marLeft w:val="0"/>
                  <w:marRight w:val="0"/>
                  <w:marTop w:val="0"/>
                  <w:marBottom w:val="0"/>
                  <w:divBdr>
                    <w:top w:val="none" w:sz="0" w:space="0" w:color="auto"/>
                    <w:left w:val="none" w:sz="0" w:space="0" w:color="auto"/>
                    <w:bottom w:val="none" w:sz="0" w:space="0" w:color="auto"/>
                    <w:right w:val="none" w:sz="0" w:space="0" w:color="auto"/>
                  </w:divBdr>
                </w:div>
                <w:div w:id="1419055102">
                  <w:marLeft w:val="0"/>
                  <w:marRight w:val="0"/>
                  <w:marTop w:val="0"/>
                  <w:marBottom w:val="0"/>
                  <w:divBdr>
                    <w:top w:val="none" w:sz="0" w:space="0" w:color="auto"/>
                    <w:left w:val="none" w:sz="0" w:space="0" w:color="auto"/>
                    <w:bottom w:val="none" w:sz="0" w:space="0" w:color="auto"/>
                    <w:right w:val="none" w:sz="0" w:space="0" w:color="auto"/>
                  </w:divBdr>
                </w:div>
                <w:div w:id="52121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691276">
      <w:bodyDiv w:val="1"/>
      <w:marLeft w:val="0"/>
      <w:marRight w:val="0"/>
      <w:marTop w:val="0"/>
      <w:marBottom w:val="0"/>
      <w:divBdr>
        <w:top w:val="none" w:sz="0" w:space="0" w:color="auto"/>
        <w:left w:val="none" w:sz="0" w:space="0" w:color="auto"/>
        <w:bottom w:val="none" w:sz="0" w:space="0" w:color="auto"/>
        <w:right w:val="none" w:sz="0" w:space="0" w:color="auto"/>
      </w:divBdr>
    </w:div>
    <w:div w:id="636766741">
      <w:bodyDiv w:val="1"/>
      <w:marLeft w:val="0"/>
      <w:marRight w:val="0"/>
      <w:marTop w:val="0"/>
      <w:marBottom w:val="0"/>
      <w:divBdr>
        <w:top w:val="none" w:sz="0" w:space="0" w:color="auto"/>
        <w:left w:val="none" w:sz="0" w:space="0" w:color="auto"/>
        <w:bottom w:val="none" w:sz="0" w:space="0" w:color="auto"/>
        <w:right w:val="none" w:sz="0" w:space="0" w:color="auto"/>
      </w:divBdr>
    </w:div>
    <w:div w:id="636767428">
      <w:bodyDiv w:val="1"/>
      <w:marLeft w:val="0"/>
      <w:marRight w:val="0"/>
      <w:marTop w:val="0"/>
      <w:marBottom w:val="0"/>
      <w:divBdr>
        <w:top w:val="none" w:sz="0" w:space="0" w:color="auto"/>
        <w:left w:val="none" w:sz="0" w:space="0" w:color="auto"/>
        <w:bottom w:val="none" w:sz="0" w:space="0" w:color="auto"/>
        <w:right w:val="none" w:sz="0" w:space="0" w:color="auto"/>
      </w:divBdr>
    </w:div>
    <w:div w:id="637342647">
      <w:bodyDiv w:val="1"/>
      <w:marLeft w:val="0"/>
      <w:marRight w:val="0"/>
      <w:marTop w:val="0"/>
      <w:marBottom w:val="0"/>
      <w:divBdr>
        <w:top w:val="none" w:sz="0" w:space="0" w:color="auto"/>
        <w:left w:val="none" w:sz="0" w:space="0" w:color="auto"/>
        <w:bottom w:val="none" w:sz="0" w:space="0" w:color="auto"/>
        <w:right w:val="none" w:sz="0" w:space="0" w:color="auto"/>
      </w:divBdr>
    </w:div>
    <w:div w:id="638344506">
      <w:bodyDiv w:val="1"/>
      <w:marLeft w:val="0"/>
      <w:marRight w:val="0"/>
      <w:marTop w:val="0"/>
      <w:marBottom w:val="0"/>
      <w:divBdr>
        <w:top w:val="none" w:sz="0" w:space="0" w:color="auto"/>
        <w:left w:val="none" w:sz="0" w:space="0" w:color="auto"/>
        <w:bottom w:val="none" w:sz="0" w:space="0" w:color="auto"/>
        <w:right w:val="none" w:sz="0" w:space="0" w:color="auto"/>
      </w:divBdr>
    </w:div>
    <w:div w:id="639186996">
      <w:bodyDiv w:val="1"/>
      <w:marLeft w:val="0"/>
      <w:marRight w:val="0"/>
      <w:marTop w:val="0"/>
      <w:marBottom w:val="0"/>
      <w:divBdr>
        <w:top w:val="none" w:sz="0" w:space="0" w:color="auto"/>
        <w:left w:val="none" w:sz="0" w:space="0" w:color="auto"/>
        <w:bottom w:val="none" w:sz="0" w:space="0" w:color="auto"/>
        <w:right w:val="none" w:sz="0" w:space="0" w:color="auto"/>
      </w:divBdr>
    </w:div>
    <w:div w:id="639846648">
      <w:bodyDiv w:val="1"/>
      <w:marLeft w:val="0"/>
      <w:marRight w:val="0"/>
      <w:marTop w:val="0"/>
      <w:marBottom w:val="0"/>
      <w:divBdr>
        <w:top w:val="none" w:sz="0" w:space="0" w:color="auto"/>
        <w:left w:val="none" w:sz="0" w:space="0" w:color="auto"/>
        <w:bottom w:val="none" w:sz="0" w:space="0" w:color="auto"/>
        <w:right w:val="none" w:sz="0" w:space="0" w:color="auto"/>
      </w:divBdr>
    </w:div>
    <w:div w:id="645476864">
      <w:bodyDiv w:val="1"/>
      <w:marLeft w:val="0"/>
      <w:marRight w:val="0"/>
      <w:marTop w:val="0"/>
      <w:marBottom w:val="0"/>
      <w:divBdr>
        <w:top w:val="none" w:sz="0" w:space="0" w:color="auto"/>
        <w:left w:val="none" w:sz="0" w:space="0" w:color="auto"/>
        <w:bottom w:val="none" w:sz="0" w:space="0" w:color="auto"/>
        <w:right w:val="none" w:sz="0" w:space="0" w:color="auto"/>
      </w:divBdr>
    </w:div>
    <w:div w:id="656105821">
      <w:bodyDiv w:val="1"/>
      <w:marLeft w:val="0"/>
      <w:marRight w:val="0"/>
      <w:marTop w:val="0"/>
      <w:marBottom w:val="0"/>
      <w:divBdr>
        <w:top w:val="none" w:sz="0" w:space="0" w:color="auto"/>
        <w:left w:val="none" w:sz="0" w:space="0" w:color="auto"/>
        <w:bottom w:val="none" w:sz="0" w:space="0" w:color="auto"/>
        <w:right w:val="none" w:sz="0" w:space="0" w:color="auto"/>
      </w:divBdr>
    </w:div>
    <w:div w:id="657924783">
      <w:bodyDiv w:val="1"/>
      <w:marLeft w:val="0"/>
      <w:marRight w:val="0"/>
      <w:marTop w:val="0"/>
      <w:marBottom w:val="0"/>
      <w:divBdr>
        <w:top w:val="none" w:sz="0" w:space="0" w:color="auto"/>
        <w:left w:val="none" w:sz="0" w:space="0" w:color="auto"/>
        <w:bottom w:val="none" w:sz="0" w:space="0" w:color="auto"/>
        <w:right w:val="none" w:sz="0" w:space="0" w:color="auto"/>
      </w:divBdr>
    </w:div>
    <w:div w:id="670378811">
      <w:bodyDiv w:val="1"/>
      <w:marLeft w:val="0"/>
      <w:marRight w:val="0"/>
      <w:marTop w:val="0"/>
      <w:marBottom w:val="0"/>
      <w:divBdr>
        <w:top w:val="none" w:sz="0" w:space="0" w:color="auto"/>
        <w:left w:val="none" w:sz="0" w:space="0" w:color="auto"/>
        <w:bottom w:val="none" w:sz="0" w:space="0" w:color="auto"/>
        <w:right w:val="none" w:sz="0" w:space="0" w:color="auto"/>
      </w:divBdr>
    </w:div>
    <w:div w:id="672076785">
      <w:bodyDiv w:val="1"/>
      <w:marLeft w:val="0"/>
      <w:marRight w:val="0"/>
      <w:marTop w:val="0"/>
      <w:marBottom w:val="0"/>
      <w:divBdr>
        <w:top w:val="none" w:sz="0" w:space="0" w:color="auto"/>
        <w:left w:val="none" w:sz="0" w:space="0" w:color="auto"/>
        <w:bottom w:val="none" w:sz="0" w:space="0" w:color="auto"/>
        <w:right w:val="none" w:sz="0" w:space="0" w:color="auto"/>
      </w:divBdr>
      <w:divsChild>
        <w:div w:id="594099959">
          <w:marLeft w:val="0"/>
          <w:marRight w:val="0"/>
          <w:marTop w:val="0"/>
          <w:marBottom w:val="0"/>
          <w:divBdr>
            <w:top w:val="none" w:sz="0" w:space="0" w:color="auto"/>
            <w:left w:val="none" w:sz="0" w:space="0" w:color="auto"/>
            <w:bottom w:val="none" w:sz="0" w:space="0" w:color="auto"/>
            <w:right w:val="none" w:sz="0" w:space="0" w:color="auto"/>
          </w:divBdr>
        </w:div>
      </w:divsChild>
    </w:div>
    <w:div w:id="672991953">
      <w:bodyDiv w:val="1"/>
      <w:marLeft w:val="0"/>
      <w:marRight w:val="0"/>
      <w:marTop w:val="0"/>
      <w:marBottom w:val="0"/>
      <w:divBdr>
        <w:top w:val="none" w:sz="0" w:space="0" w:color="auto"/>
        <w:left w:val="none" w:sz="0" w:space="0" w:color="auto"/>
        <w:bottom w:val="none" w:sz="0" w:space="0" w:color="auto"/>
        <w:right w:val="none" w:sz="0" w:space="0" w:color="auto"/>
      </w:divBdr>
    </w:div>
    <w:div w:id="675885658">
      <w:bodyDiv w:val="1"/>
      <w:marLeft w:val="0"/>
      <w:marRight w:val="0"/>
      <w:marTop w:val="0"/>
      <w:marBottom w:val="0"/>
      <w:divBdr>
        <w:top w:val="none" w:sz="0" w:space="0" w:color="auto"/>
        <w:left w:val="none" w:sz="0" w:space="0" w:color="auto"/>
        <w:bottom w:val="none" w:sz="0" w:space="0" w:color="auto"/>
        <w:right w:val="none" w:sz="0" w:space="0" w:color="auto"/>
      </w:divBdr>
    </w:div>
    <w:div w:id="693309164">
      <w:bodyDiv w:val="1"/>
      <w:marLeft w:val="0"/>
      <w:marRight w:val="0"/>
      <w:marTop w:val="0"/>
      <w:marBottom w:val="0"/>
      <w:divBdr>
        <w:top w:val="none" w:sz="0" w:space="0" w:color="auto"/>
        <w:left w:val="none" w:sz="0" w:space="0" w:color="auto"/>
        <w:bottom w:val="none" w:sz="0" w:space="0" w:color="auto"/>
        <w:right w:val="none" w:sz="0" w:space="0" w:color="auto"/>
      </w:divBdr>
    </w:div>
    <w:div w:id="698703507">
      <w:bodyDiv w:val="1"/>
      <w:marLeft w:val="0"/>
      <w:marRight w:val="0"/>
      <w:marTop w:val="0"/>
      <w:marBottom w:val="0"/>
      <w:divBdr>
        <w:top w:val="none" w:sz="0" w:space="0" w:color="auto"/>
        <w:left w:val="none" w:sz="0" w:space="0" w:color="auto"/>
        <w:bottom w:val="none" w:sz="0" w:space="0" w:color="auto"/>
        <w:right w:val="none" w:sz="0" w:space="0" w:color="auto"/>
      </w:divBdr>
    </w:div>
    <w:div w:id="705715440">
      <w:bodyDiv w:val="1"/>
      <w:marLeft w:val="0"/>
      <w:marRight w:val="0"/>
      <w:marTop w:val="0"/>
      <w:marBottom w:val="0"/>
      <w:divBdr>
        <w:top w:val="none" w:sz="0" w:space="0" w:color="auto"/>
        <w:left w:val="none" w:sz="0" w:space="0" w:color="auto"/>
        <w:bottom w:val="none" w:sz="0" w:space="0" w:color="auto"/>
        <w:right w:val="none" w:sz="0" w:space="0" w:color="auto"/>
      </w:divBdr>
    </w:div>
    <w:div w:id="706030905">
      <w:bodyDiv w:val="1"/>
      <w:marLeft w:val="0"/>
      <w:marRight w:val="0"/>
      <w:marTop w:val="0"/>
      <w:marBottom w:val="0"/>
      <w:divBdr>
        <w:top w:val="none" w:sz="0" w:space="0" w:color="auto"/>
        <w:left w:val="none" w:sz="0" w:space="0" w:color="auto"/>
        <w:bottom w:val="none" w:sz="0" w:space="0" w:color="auto"/>
        <w:right w:val="none" w:sz="0" w:space="0" w:color="auto"/>
      </w:divBdr>
    </w:div>
    <w:div w:id="707218121">
      <w:bodyDiv w:val="1"/>
      <w:marLeft w:val="0"/>
      <w:marRight w:val="0"/>
      <w:marTop w:val="0"/>
      <w:marBottom w:val="0"/>
      <w:divBdr>
        <w:top w:val="none" w:sz="0" w:space="0" w:color="auto"/>
        <w:left w:val="none" w:sz="0" w:space="0" w:color="auto"/>
        <w:bottom w:val="none" w:sz="0" w:space="0" w:color="auto"/>
        <w:right w:val="none" w:sz="0" w:space="0" w:color="auto"/>
      </w:divBdr>
    </w:div>
    <w:div w:id="707488756">
      <w:bodyDiv w:val="1"/>
      <w:marLeft w:val="0"/>
      <w:marRight w:val="0"/>
      <w:marTop w:val="0"/>
      <w:marBottom w:val="0"/>
      <w:divBdr>
        <w:top w:val="none" w:sz="0" w:space="0" w:color="auto"/>
        <w:left w:val="none" w:sz="0" w:space="0" w:color="auto"/>
        <w:bottom w:val="none" w:sz="0" w:space="0" w:color="auto"/>
        <w:right w:val="none" w:sz="0" w:space="0" w:color="auto"/>
      </w:divBdr>
    </w:div>
    <w:div w:id="711727717">
      <w:bodyDiv w:val="1"/>
      <w:marLeft w:val="0"/>
      <w:marRight w:val="0"/>
      <w:marTop w:val="0"/>
      <w:marBottom w:val="0"/>
      <w:divBdr>
        <w:top w:val="none" w:sz="0" w:space="0" w:color="auto"/>
        <w:left w:val="none" w:sz="0" w:space="0" w:color="auto"/>
        <w:bottom w:val="none" w:sz="0" w:space="0" w:color="auto"/>
        <w:right w:val="none" w:sz="0" w:space="0" w:color="auto"/>
      </w:divBdr>
    </w:div>
    <w:div w:id="717624940">
      <w:bodyDiv w:val="1"/>
      <w:marLeft w:val="0"/>
      <w:marRight w:val="0"/>
      <w:marTop w:val="0"/>
      <w:marBottom w:val="0"/>
      <w:divBdr>
        <w:top w:val="none" w:sz="0" w:space="0" w:color="auto"/>
        <w:left w:val="none" w:sz="0" w:space="0" w:color="auto"/>
        <w:bottom w:val="none" w:sz="0" w:space="0" w:color="auto"/>
        <w:right w:val="none" w:sz="0" w:space="0" w:color="auto"/>
      </w:divBdr>
    </w:div>
    <w:div w:id="719522346">
      <w:bodyDiv w:val="1"/>
      <w:marLeft w:val="0"/>
      <w:marRight w:val="0"/>
      <w:marTop w:val="0"/>
      <w:marBottom w:val="0"/>
      <w:divBdr>
        <w:top w:val="none" w:sz="0" w:space="0" w:color="auto"/>
        <w:left w:val="none" w:sz="0" w:space="0" w:color="auto"/>
        <w:bottom w:val="none" w:sz="0" w:space="0" w:color="auto"/>
        <w:right w:val="none" w:sz="0" w:space="0" w:color="auto"/>
      </w:divBdr>
    </w:div>
    <w:div w:id="729424043">
      <w:bodyDiv w:val="1"/>
      <w:marLeft w:val="0"/>
      <w:marRight w:val="0"/>
      <w:marTop w:val="0"/>
      <w:marBottom w:val="0"/>
      <w:divBdr>
        <w:top w:val="none" w:sz="0" w:space="0" w:color="auto"/>
        <w:left w:val="none" w:sz="0" w:space="0" w:color="auto"/>
        <w:bottom w:val="none" w:sz="0" w:space="0" w:color="auto"/>
        <w:right w:val="none" w:sz="0" w:space="0" w:color="auto"/>
      </w:divBdr>
      <w:divsChild>
        <w:div w:id="1996638096">
          <w:marLeft w:val="0"/>
          <w:marRight w:val="0"/>
          <w:marTop w:val="0"/>
          <w:marBottom w:val="0"/>
          <w:divBdr>
            <w:top w:val="none" w:sz="0" w:space="0" w:color="auto"/>
            <w:left w:val="none" w:sz="0" w:space="0" w:color="auto"/>
            <w:bottom w:val="none" w:sz="0" w:space="0" w:color="auto"/>
            <w:right w:val="none" w:sz="0" w:space="0" w:color="auto"/>
          </w:divBdr>
        </w:div>
        <w:div w:id="2066637731">
          <w:marLeft w:val="0"/>
          <w:marRight w:val="0"/>
          <w:marTop w:val="0"/>
          <w:marBottom w:val="0"/>
          <w:divBdr>
            <w:top w:val="none" w:sz="0" w:space="0" w:color="auto"/>
            <w:left w:val="none" w:sz="0" w:space="0" w:color="auto"/>
            <w:bottom w:val="none" w:sz="0" w:space="0" w:color="auto"/>
            <w:right w:val="none" w:sz="0" w:space="0" w:color="auto"/>
          </w:divBdr>
        </w:div>
        <w:div w:id="310058828">
          <w:marLeft w:val="0"/>
          <w:marRight w:val="0"/>
          <w:marTop w:val="0"/>
          <w:marBottom w:val="0"/>
          <w:divBdr>
            <w:top w:val="none" w:sz="0" w:space="0" w:color="auto"/>
            <w:left w:val="none" w:sz="0" w:space="0" w:color="auto"/>
            <w:bottom w:val="none" w:sz="0" w:space="0" w:color="auto"/>
            <w:right w:val="none" w:sz="0" w:space="0" w:color="auto"/>
          </w:divBdr>
        </w:div>
      </w:divsChild>
    </w:div>
    <w:div w:id="729688684">
      <w:bodyDiv w:val="1"/>
      <w:marLeft w:val="0"/>
      <w:marRight w:val="0"/>
      <w:marTop w:val="0"/>
      <w:marBottom w:val="0"/>
      <w:divBdr>
        <w:top w:val="none" w:sz="0" w:space="0" w:color="auto"/>
        <w:left w:val="none" w:sz="0" w:space="0" w:color="auto"/>
        <w:bottom w:val="none" w:sz="0" w:space="0" w:color="auto"/>
        <w:right w:val="none" w:sz="0" w:space="0" w:color="auto"/>
      </w:divBdr>
    </w:div>
    <w:div w:id="730620667">
      <w:bodyDiv w:val="1"/>
      <w:marLeft w:val="0"/>
      <w:marRight w:val="0"/>
      <w:marTop w:val="0"/>
      <w:marBottom w:val="0"/>
      <w:divBdr>
        <w:top w:val="none" w:sz="0" w:space="0" w:color="auto"/>
        <w:left w:val="none" w:sz="0" w:space="0" w:color="auto"/>
        <w:bottom w:val="none" w:sz="0" w:space="0" w:color="auto"/>
        <w:right w:val="none" w:sz="0" w:space="0" w:color="auto"/>
      </w:divBdr>
    </w:div>
    <w:div w:id="732658129">
      <w:bodyDiv w:val="1"/>
      <w:marLeft w:val="0"/>
      <w:marRight w:val="0"/>
      <w:marTop w:val="0"/>
      <w:marBottom w:val="0"/>
      <w:divBdr>
        <w:top w:val="none" w:sz="0" w:space="0" w:color="auto"/>
        <w:left w:val="none" w:sz="0" w:space="0" w:color="auto"/>
        <w:bottom w:val="none" w:sz="0" w:space="0" w:color="auto"/>
        <w:right w:val="none" w:sz="0" w:space="0" w:color="auto"/>
      </w:divBdr>
    </w:div>
    <w:div w:id="733162527">
      <w:bodyDiv w:val="1"/>
      <w:marLeft w:val="0"/>
      <w:marRight w:val="0"/>
      <w:marTop w:val="0"/>
      <w:marBottom w:val="0"/>
      <w:divBdr>
        <w:top w:val="none" w:sz="0" w:space="0" w:color="auto"/>
        <w:left w:val="none" w:sz="0" w:space="0" w:color="auto"/>
        <w:bottom w:val="none" w:sz="0" w:space="0" w:color="auto"/>
        <w:right w:val="none" w:sz="0" w:space="0" w:color="auto"/>
      </w:divBdr>
    </w:div>
    <w:div w:id="733239911">
      <w:bodyDiv w:val="1"/>
      <w:marLeft w:val="0"/>
      <w:marRight w:val="0"/>
      <w:marTop w:val="0"/>
      <w:marBottom w:val="0"/>
      <w:divBdr>
        <w:top w:val="none" w:sz="0" w:space="0" w:color="auto"/>
        <w:left w:val="none" w:sz="0" w:space="0" w:color="auto"/>
        <w:bottom w:val="none" w:sz="0" w:space="0" w:color="auto"/>
        <w:right w:val="none" w:sz="0" w:space="0" w:color="auto"/>
      </w:divBdr>
    </w:div>
    <w:div w:id="736365381">
      <w:bodyDiv w:val="1"/>
      <w:marLeft w:val="0"/>
      <w:marRight w:val="0"/>
      <w:marTop w:val="0"/>
      <w:marBottom w:val="0"/>
      <w:divBdr>
        <w:top w:val="none" w:sz="0" w:space="0" w:color="auto"/>
        <w:left w:val="none" w:sz="0" w:space="0" w:color="auto"/>
        <w:bottom w:val="none" w:sz="0" w:space="0" w:color="auto"/>
        <w:right w:val="none" w:sz="0" w:space="0" w:color="auto"/>
      </w:divBdr>
    </w:div>
    <w:div w:id="737441343">
      <w:bodyDiv w:val="1"/>
      <w:marLeft w:val="0"/>
      <w:marRight w:val="0"/>
      <w:marTop w:val="0"/>
      <w:marBottom w:val="0"/>
      <w:divBdr>
        <w:top w:val="none" w:sz="0" w:space="0" w:color="auto"/>
        <w:left w:val="none" w:sz="0" w:space="0" w:color="auto"/>
        <w:bottom w:val="none" w:sz="0" w:space="0" w:color="auto"/>
        <w:right w:val="none" w:sz="0" w:space="0" w:color="auto"/>
      </w:divBdr>
    </w:div>
    <w:div w:id="737554764">
      <w:bodyDiv w:val="1"/>
      <w:marLeft w:val="0"/>
      <w:marRight w:val="0"/>
      <w:marTop w:val="0"/>
      <w:marBottom w:val="0"/>
      <w:divBdr>
        <w:top w:val="none" w:sz="0" w:space="0" w:color="auto"/>
        <w:left w:val="none" w:sz="0" w:space="0" w:color="auto"/>
        <w:bottom w:val="none" w:sz="0" w:space="0" w:color="auto"/>
        <w:right w:val="none" w:sz="0" w:space="0" w:color="auto"/>
      </w:divBdr>
    </w:div>
    <w:div w:id="738556995">
      <w:bodyDiv w:val="1"/>
      <w:marLeft w:val="0"/>
      <w:marRight w:val="0"/>
      <w:marTop w:val="0"/>
      <w:marBottom w:val="0"/>
      <w:divBdr>
        <w:top w:val="none" w:sz="0" w:space="0" w:color="auto"/>
        <w:left w:val="none" w:sz="0" w:space="0" w:color="auto"/>
        <w:bottom w:val="none" w:sz="0" w:space="0" w:color="auto"/>
        <w:right w:val="none" w:sz="0" w:space="0" w:color="auto"/>
      </w:divBdr>
    </w:div>
    <w:div w:id="746265062">
      <w:bodyDiv w:val="1"/>
      <w:marLeft w:val="0"/>
      <w:marRight w:val="0"/>
      <w:marTop w:val="0"/>
      <w:marBottom w:val="0"/>
      <w:divBdr>
        <w:top w:val="none" w:sz="0" w:space="0" w:color="auto"/>
        <w:left w:val="none" w:sz="0" w:space="0" w:color="auto"/>
        <w:bottom w:val="none" w:sz="0" w:space="0" w:color="auto"/>
        <w:right w:val="none" w:sz="0" w:space="0" w:color="auto"/>
      </w:divBdr>
    </w:div>
    <w:div w:id="747504907">
      <w:bodyDiv w:val="1"/>
      <w:marLeft w:val="0"/>
      <w:marRight w:val="0"/>
      <w:marTop w:val="0"/>
      <w:marBottom w:val="0"/>
      <w:divBdr>
        <w:top w:val="none" w:sz="0" w:space="0" w:color="auto"/>
        <w:left w:val="none" w:sz="0" w:space="0" w:color="auto"/>
        <w:bottom w:val="none" w:sz="0" w:space="0" w:color="auto"/>
        <w:right w:val="none" w:sz="0" w:space="0" w:color="auto"/>
      </w:divBdr>
    </w:div>
    <w:div w:id="752358844">
      <w:bodyDiv w:val="1"/>
      <w:marLeft w:val="0"/>
      <w:marRight w:val="0"/>
      <w:marTop w:val="0"/>
      <w:marBottom w:val="0"/>
      <w:divBdr>
        <w:top w:val="none" w:sz="0" w:space="0" w:color="auto"/>
        <w:left w:val="none" w:sz="0" w:space="0" w:color="auto"/>
        <w:bottom w:val="none" w:sz="0" w:space="0" w:color="auto"/>
        <w:right w:val="none" w:sz="0" w:space="0" w:color="auto"/>
      </w:divBdr>
    </w:div>
    <w:div w:id="755201700">
      <w:bodyDiv w:val="1"/>
      <w:marLeft w:val="0"/>
      <w:marRight w:val="0"/>
      <w:marTop w:val="0"/>
      <w:marBottom w:val="0"/>
      <w:divBdr>
        <w:top w:val="none" w:sz="0" w:space="0" w:color="auto"/>
        <w:left w:val="none" w:sz="0" w:space="0" w:color="auto"/>
        <w:bottom w:val="none" w:sz="0" w:space="0" w:color="auto"/>
        <w:right w:val="none" w:sz="0" w:space="0" w:color="auto"/>
      </w:divBdr>
      <w:divsChild>
        <w:div w:id="73279242">
          <w:marLeft w:val="0"/>
          <w:marRight w:val="0"/>
          <w:marTop w:val="0"/>
          <w:marBottom w:val="0"/>
          <w:divBdr>
            <w:top w:val="none" w:sz="0" w:space="0" w:color="auto"/>
            <w:left w:val="none" w:sz="0" w:space="0" w:color="auto"/>
            <w:bottom w:val="none" w:sz="0" w:space="0" w:color="auto"/>
            <w:right w:val="none" w:sz="0" w:space="0" w:color="auto"/>
          </w:divBdr>
        </w:div>
      </w:divsChild>
    </w:div>
    <w:div w:id="756708376">
      <w:bodyDiv w:val="1"/>
      <w:marLeft w:val="0"/>
      <w:marRight w:val="0"/>
      <w:marTop w:val="0"/>
      <w:marBottom w:val="0"/>
      <w:divBdr>
        <w:top w:val="none" w:sz="0" w:space="0" w:color="auto"/>
        <w:left w:val="none" w:sz="0" w:space="0" w:color="auto"/>
        <w:bottom w:val="none" w:sz="0" w:space="0" w:color="auto"/>
        <w:right w:val="none" w:sz="0" w:space="0" w:color="auto"/>
      </w:divBdr>
    </w:div>
    <w:div w:id="759911396">
      <w:bodyDiv w:val="1"/>
      <w:marLeft w:val="0"/>
      <w:marRight w:val="0"/>
      <w:marTop w:val="0"/>
      <w:marBottom w:val="0"/>
      <w:divBdr>
        <w:top w:val="none" w:sz="0" w:space="0" w:color="auto"/>
        <w:left w:val="none" w:sz="0" w:space="0" w:color="auto"/>
        <w:bottom w:val="none" w:sz="0" w:space="0" w:color="auto"/>
        <w:right w:val="none" w:sz="0" w:space="0" w:color="auto"/>
      </w:divBdr>
    </w:div>
    <w:div w:id="761607278">
      <w:bodyDiv w:val="1"/>
      <w:marLeft w:val="0"/>
      <w:marRight w:val="0"/>
      <w:marTop w:val="0"/>
      <w:marBottom w:val="0"/>
      <w:divBdr>
        <w:top w:val="none" w:sz="0" w:space="0" w:color="auto"/>
        <w:left w:val="none" w:sz="0" w:space="0" w:color="auto"/>
        <w:bottom w:val="none" w:sz="0" w:space="0" w:color="auto"/>
        <w:right w:val="none" w:sz="0" w:space="0" w:color="auto"/>
      </w:divBdr>
    </w:div>
    <w:div w:id="763455518">
      <w:bodyDiv w:val="1"/>
      <w:marLeft w:val="0"/>
      <w:marRight w:val="0"/>
      <w:marTop w:val="0"/>
      <w:marBottom w:val="0"/>
      <w:divBdr>
        <w:top w:val="none" w:sz="0" w:space="0" w:color="auto"/>
        <w:left w:val="none" w:sz="0" w:space="0" w:color="auto"/>
        <w:bottom w:val="none" w:sz="0" w:space="0" w:color="auto"/>
        <w:right w:val="none" w:sz="0" w:space="0" w:color="auto"/>
      </w:divBdr>
    </w:div>
    <w:div w:id="764111307">
      <w:bodyDiv w:val="1"/>
      <w:marLeft w:val="0"/>
      <w:marRight w:val="0"/>
      <w:marTop w:val="0"/>
      <w:marBottom w:val="0"/>
      <w:divBdr>
        <w:top w:val="none" w:sz="0" w:space="0" w:color="auto"/>
        <w:left w:val="none" w:sz="0" w:space="0" w:color="auto"/>
        <w:bottom w:val="none" w:sz="0" w:space="0" w:color="auto"/>
        <w:right w:val="none" w:sz="0" w:space="0" w:color="auto"/>
      </w:divBdr>
    </w:div>
    <w:div w:id="766848185">
      <w:bodyDiv w:val="1"/>
      <w:marLeft w:val="0"/>
      <w:marRight w:val="0"/>
      <w:marTop w:val="0"/>
      <w:marBottom w:val="0"/>
      <w:divBdr>
        <w:top w:val="none" w:sz="0" w:space="0" w:color="auto"/>
        <w:left w:val="none" w:sz="0" w:space="0" w:color="auto"/>
        <w:bottom w:val="none" w:sz="0" w:space="0" w:color="auto"/>
        <w:right w:val="none" w:sz="0" w:space="0" w:color="auto"/>
      </w:divBdr>
    </w:div>
    <w:div w:id="768501537">
      <w:bodyDiv w:val="1"/>
      <w:marLeft w:val="0"/>
      <w:marRight w:val="0"/>
      <w:marTop w:val="0"/>
      <w:marBottom w:val="0"/>
      <w:divBdr>
        <w:top w:val="none" w:sz="0" w:space="0" w:color="auto"/>
        <w:left w:val="none" w:sz="0" w:space="0" w:color="auto"/>
        <w:bottom w:val="none" w:sz="0" w:space="0" w:color="auto"/>
        <w:right w:val="none" w:sz="0" w:space="0" w:color="auto"/>
      </w:divBdr>
    </w:div>
    <w:div w:id="780996693">
      <w:bodyDiv w:val="1"/>
      <w:marLeft w:val="0"/>
      <w:marRight w:val="0"/>
      <w:marTop w:val="0"/>
      <w:marBottom w:val="0"/>
      <w:divBdr>
        <w:top w:val="none" w:sz="0" w:space="0" w:color="auto"/>
        <w:left w:val="none" w:sz="0" w:space="0" w:color="auto"/>
        <w:bottom w:val="none" w:sz="0" w:space="0" w:color="auto"/>
        <w:right w:val="none" w:sz="0" w:space="0" w:color="auto"/>
      </w:divBdr>
    </w:div>
    <w:div w:id="782191530">
      <w:bodyDiv w:val="1"/>
      <w:marLeft w:val="0"/>
      <w:marRight w:val="0"/>
      <w:marTop w:val="0"/>
      <w:marBottom w:val="0"/>
      <w:divBdr>
        <w:top w:val="none" w:sz="0" w:space="0" w:color="auto"/>
        <w:left w:val="none" w:sz="0" w:space="0" w:color="auto"/>
        <w:bottom w:val="none" w:sz="0" w:space="0" w:color="auto"/>
        <w:right w:val="none" w:sz="0" w:space="0" w:color="auto"/>
      </w:divBdr>
    </w:div>
    <w:div w:id="789010899">
      <w:bodyDiv w:val="1"/>
      <w:marLeft w:val="0"/>
      <w:marRight w:val="0"/>
      <w:marTop w:val="0"/>
      <w:marBottom w:val="0"/>
      <w:divBdr>
        <w:top w:val="none" w:sz="0" w:space="0" w:color="auto"/>
        <w:left w:val="none" w:sz="0" w:space="0" w:color="auto"/>
        <w:bottom w:val="none" w:sz="0" w:space="0" w:color="auto"/>
        <w:right w:val="none" w:sz="0" w:space="0" w:color="auto"/>
      </w:divBdr>
    </w:div>
    <w:div w:id="790591915">
      <w:bodyDiv w:val="1"/>
      <w:marLeft w:val="0"/>
      <w:marRight w:val="0"/>
      <w:marTop w:val="0"/>
      <w:marBottom w:val="0"/>
      <w:divBdr>
        <w:top w:val="none" w:sz="0" w:space="0" w:color="auto"/>
        <w:left w:val="none" w:sz="0" w:space="0" w:color="auto"/>
        <w:bottom w:val="none" w:sz="0" w:space="0" w:color="auto"/>
        <w:right w:val="none" w:sz="0" w:space="0" w:color="auto"/>
      </w:divBdr>
    </w:div>
    <w:div w:id="790780375">
      <w:bodyDiv w:val="1"/>
      <w:marLeft w:val="0"/>
      <w:marRight w:val="0"/>
      <w:marTop w:val="0"/>
      <w:marBottom w:val="0"/>
      <w:divBdr>
        <w:top w:val="none" w:sz="0" w:space="0" w:color="auto"/>
        <w:left w:val="none" w:sz="0" w:space="0" w:color="auto"/>
        <w:bottom w:val="none" w:sz="0" w:space="0" w:color="auto"/>
        <w:right w:val="none" w:sz="0" w:space="0" w:color="auto"/>
      </w:divBdr>
    </w:div>
    <w:div w:id="791435958">
      <w:bodyDiv w:val="1"/>
      <w:marLeft w:val="0"/>
      <w:marRight w:val="0"/>
      <w:marTop w:val="0"/>
      <w:marBottom w:val="0"/>
      <w:divBdr>
        <w:top w:val="none" w:sz="0" w:space="0" w:color="auto"/>
        <w:left w:val="none" w:sz="0" w:space="0" w:color="auto"/>
        <w:bottom w:val="none" w:sz="0" w:space="0" w:color="auto"/>
        <w:right w:val="none" w:sz="0" w:space="0" w:color="auto"/>
      </w:divBdr>
    </w:div>
    <w:div w:id="791435976">
      <w:bodyDiv w:val="1"/>
      <w:marLeft w:val="0"/>
      <w:marRight w:val="0"/>
      <w:marTop w:val="0"/>
      <w:marBottom w:val="0"/>
      <w:divBdr>
        <w:top w:val="none" w:sz="0" w:space="0" w:color="auto"/>
        <w:left w:val="none" w:sz="0" w:space="0" w:color="auto"/>
        <w:bottom w:val="none" w:sz="0" w:space="0" w:color="auto"/>
        <w:right w:val="none" w:sz="0" w:space="0" w:color="auto"/>
      </w:divBdr>
    </w:div>
    <w:div w:id="792988688">
      <w:bodyDiv w:val="1"/>
      <w:marLeft w:val="0"/>
      <w:marRight w:val="0"/>
      <w:marTop w:val="0"/>
      <w:marBottom w:val="0"/>
      <w:divBdr>
        <w:top w:val="none" w:sz="0" w:space="0" w:color="auto"/>
        <w:left w:val="none" w:sz="0" w:space="0" w:color="auto"/>
        <w:bottom w:val="none" w:sz="0" w:space="0" w:color="auto"/>
        <w:right w:val="none" w:sz="0" w:space="0" w:color="auto"/>
      </w:divBdr>
    </w:div>
    <w:div w:id="795413011">
      <w:bodyDiv w:val="1"/>
      <w:marLeft w:val="0"/>
      <w:marRight w:val="0"/>
      <w:marTop w:val="0"/>
      <w:marBottom w:val="0"/>
      <w:divBdr>
        <w:top w:val="none" w:sz="0" w:space="0" w:color="auto"/>
        <w:left w:val="none" w:sz="0" w:space="0" w:color="auto"/>
        <w:bottom w:val="none" w:sz="0" w:space="0" w:color="auto"/>
        <w:right w:val="none" w:sz="0" w:space="0" w:color="auto"/>
      </w:divBdr>
    </w:div>
    <w:div w:id="801002958">
      <w:bodyDiv w:val="1"/>
      <w:marLeft w:val="0"/>
      <w:marRight w:val="0"/>
      <w:marTop w:val="0"/>
      <w:marBottom w:val="0"/>
      <w:divBdr>
        <w:top w:val="none" w:sz="0" w:space="0" w:color="auto"/>
        <w:left w:val="none" w:sz="0" w:space="0" w:color="auto"/>
        <w:bottom w:val="none" w:sz="0" w:space="0" w:color="auto"/>
        <w:right w:val="none" w:sz="0" w:space="0" w:color="auto"/>
      </w:divBdr>
    </w:div>
    <w:div w:id="801114603">
      <w:bodyDiv w:val="1"/>
      <w:marLeft w:val="0"/>
      <w:marRight w:val="0"/>
      <w:marTop w:val="0"/>
      <w:marBottom w:val="0"/>
      <w:divBdr>
        <w:top w:val="none" w:sz="0" w:space="0" w:color="auto"/>
        <w:left w:val="none" w:sz="0" w:space="0" w:color="auto"/>
        <w:bottom w:val="none" w:sz="0" w:space="0" w:color="auto"/>
        <w:right w:val="none" w:sz="0" w:space="0" w:color="auto"/>
      </w:divBdr>
    </w:div>
    <w:div w:id="801456987">
      <w:bodyDiv w:val="1"/>
      <w:marLeft w:val="0"/>
      <w:marRight w:val="0"/>
      <w:marTop w:val="0"/>
      <w:marBottom w:val="0"/>
      <w:divBdr>
        <w:top w:val="none" w:sz="0" w:space="0" w:color="auto"/>
        <w:left w:val="none" w:sz="0" w:space="0" w:color="auto"/>
        <w:bottom w:val="none" w:sz="0" w:space="0" w:color="auto"/>
        <w:right w:val="none" w:sz="0" w:space="0" w:color="auto"/>
      </w:divBdr>
    </w:div>
    <w:div w:id="803086136">
      <w:bodyDiv w:val="1"/>
      <w:marLeft w:val="0"/>
      <w:marRight w:val="0"/>
      <w:marTop w:val="0"/>
      <w:marBottom w:val="0"/>
      <w:divBdr>
        <w:top w:val="none" w:sz="0" w:space="0" w:color="auto"/>
        <w:left w:val="none" w:sz="0" w:space="0" w:color="auto"/>
        <w:bottom w:val="none" w:sz="0" w:space="0" w:color="auto"/>
        <w:right w:val="none" w:sz="0" w:space="0" w:color="auto"/>
      </w:divBdr>
    </w:div>
    <w:div w:id="803543195">
      <w:bodyDiv w:val="1"/>
      <w:marLeft w:val="0"/>
      <w:marRight w:val="0"/>
      <w:marTop w:val="0"/>
      <w:marBottom w:val="0"/>
      <w:divBdr>
        <w:top w:val="none" w:sz="0" w:space="0" w:color="auto"/>
        <w:left w:val="none" w:sz="0" w:space="0" w:color="auto"/>
        <w:bottom w:val="none" w:sz="0" w:space="0" w:color="auto"/>
        <w:right w:val="none" w:sz="0" w:space="0" w:color="auto"/>
      </w:divBdr>
    </w:div>
    <w:div w:id="809638191">
      <w:bodyDiv w:val="1"/>
      <w:marLeft w:val="0"/>
      <w:marRight w:val="0"/>
      <w:marTop w:val="0"/>
      <w:marBottom w:val="0"/>
      <w:divBdr>
        <w:top w:val="none" w:sz="0" w:space="0" w:color="auto"/>
        <w:left w:val="none" w:sz="0" w:space="0" w:color="auto"/>
        <w:bottom w:val="none" w:sz="0" w:space="0" w:color="auto"/>
        <w:right w:val="none" w:sz="0" w:space="0" w:color="auto"/>
      </w:divBdr>
    </w:div>
    <w:div w:id="813722350">
      <w:bodyDiv w:val="1"/>
      <w:marLeft w:val="0"/>
      <w:marRight w:val="0"/>
      <w:marTop w:val="0"/>
      <w:marBottom w:val="0"/>
      <w:divBdr>
        <w:top w:val="none" w:sz="0" w:space="0" w:color="auto"/>
        <w:left w:val="none" w:sz="0" w:space="0" w:color="auto"/>
        <w:bottom w:val="none" w:sz="0" w:space="0" w:color="auto"/>
        <w:right w:val="none" w:sz="0" w:space="0" w:color="auto"/>
      </w:divBdr>
    </w:div>
    <w:div w:id="814370379">
      <w:bodyDiv w:val="1"/>
      <w:marLeft w:val="0"/>
      <w:marRight w:val="0"/>
      <w:marTop w:val="0"/>
      <w:marBottom w:val="0"/>
      <w:divBdr>
        <w:top w:val="none" w:sz="0" w:space="0" w:color="auto"/>
        <w:left w:val="none" w:sz="0" w:space="0" w:color="auto"/>
        <w:bottom w:val="none" w:sz="0" w:space="0" w:color="auto"/>
        <w:right w:val="none" w:sz="0" w:space="0" w:color="auto"/>
      </w:divBdr>
    </w:div>
    <w:div w:id="815806195">
      <w:bodyDiv w:val="1"/>
      <w:marLeft w:val="0"/>
      <w:marRight w:val="0"/>
      <w:marTop w:val="0"/>
      <w:marBottom w:val="0"/>
      <w:divBdr>
        <w:top w:val="none" w:sz="0" w:space="0" w:color="auto"/>
        <w:left w:val="none" w:sz="0" w:space="0" w:color="auto"/>
        <w:bottom w:val="none" w:sz="0" w:space="0" w:color="auto"/>
        <w:right w:val="none" w:sz="0" w:space="0" w:color="auto"/>
      </w:divBdr>
    </w:div>
    <w:div w:id="816848515">
      <w:bodyDiv w:val="1"/>
      <w:marLeft w:val="0"/>
      <w:marRight w:val="0"/>
      <w:marTop w:val="0"/>
      <w:marBottom w:val="0"/>
      <w:divBdr>
        <w:top w:val="none" w:sz="0" w:space="0" w:color="auto"/>
        <w:left w:val="none" w:sz="0" w:space="0" w:color="auto"/>
        <w:bottom w:val="none" w:sz="0" w:space="0" w:color="auto"/>
        <w:right w:val="none" w:sz="0" w:space="0" w:color="auto"/>
      </w:divBdr>
    </w:div>
    <w:div w:id="827670792">
      <w:bodyDiv w:val="1"/>
      <w:marLeft w:val="0"/>
      <w:marRight w:val="0"/>
      <w:marTop w:val="0"/>
      <w:marBottom w:val="0"/>
      <w:divBdr>
        <w:top w:val="none" w:sz="0" w:space="0" w:color="auto"/>
        <w:left w:val="none" w:sz="0" w:space="0" w:color="auto"/>
        <w:bottom w:val="none" w:sz="0" w:space="0" w:color="auto"/>
        <w:right w:val="none" w:sz="0" w:space="0" w:color="auto"/>
      </w:divBdr>
    </w:div>
    <w:div w:id="837233438">
      <w:bodyDiv w:val="1"/>
      <w:marLeft w:val="0"/>
      <w:marRight w:val="0"/>
      <w:marTop w:val="0"/>
      <w:marBottom w:val="0"/>
      <w:divBdr>
        <w:top w:val="none" w:sz="0" w:space="0" w:color="auto"/>
        <w:left w:val="none" w:sz="0" w:space="0" w:color="auto"/>
        <w:bottom w:val="none" w:sz="0" w:space="0" w:color="auto"/>
        <w:right w:val="none" w:sz="0" w:space="0" w:color="auto"/>
      </w:divBdr>
    </w:div>
    <w:div w:id="843132209">
      <w:bodyDiv w:val="1"/>
      <w:marLeft w:val="0"/>
      <w:marRight w:val="0"/>
      <w:marTop w:val="0"/>
      <w:marBottom w:val="0"/>
      <w:divBdr>
        <w:top w:val="none" w:sz="0" w:space="0" w:color="auto"/>
        <w:left w:val="none" w:sz="0" w:space="0" w:color="auto"/>
        <w:bottom w:val="none" w:sz="0" w:space="0" w:color="auto"/>
        <w:right w:val="none" w:sz="0" w:space="0" w:color="auto"/>
      </w:divBdr>
    </w:div>
    <w:div w:id="843742371">
      <w:bodyDiv w:val="1"/>
      <w:marLeft w:val="0"/>
      <w:marRight w:val="0"/>
      <w:marTop w:val="0"/>
      <w:marBottom w:val="0"/>
      <w:divBdr>
        <w:top w:val="none" w:sz="0" w:space="0" w:color="auto"/>
        <w:left w:val="none" w:sz="0" w:space="0" w:color="auto"/>
        <w:bottom w:val="none" w:sz="0" w:space="0" w:color="auto"/>
        <w:right w:val="none" w:sz="0" w:space="0" w:color="auto"/>
      </w:divBdr>
    </w:div>
    <w:div w:id="851455864">
      <w:bodyDiv w:val="1"/>
      <w:marLeft w:val="0"/>
      <w:marRight w:val="0"/>
      <w:marTop w:val="0"/>
      <w:marBottom w:val="0"/>
      <w:divBdr>
        <w:top w:val="none" w:sz="0" w:space="0" w:color="auto"/>
        <w:left w:val="none" w:sz="0" w:space="0" w:color="auto"/>
        <w:bottom w:val="none" w:sz="0" w:space="0" w:color="auto"/>
        <w:right w:val="none" w:sz="0" w:space="0" w:color="auto"/>
      </w:divBdr>
    </w:div>
    <w:div w:id="851797191">
      <w:bodyDiv w:val="1"/>
      <w:marLeft w:val="0"/>
      <w:marRight w:val="0"/>
      <w:marTop w:val="0"/>
      <w:marBottom w:val="0"/>
      <w:divBdr>
        <w:top w:val="none" w:sz="0" w:space="0" w:color="auto"/>
        <w:left w:val="none" w:sz="0" w:space="0" w:color="auto"/>
        <w:bottom w:val="none" w:sz="0" w:space="0" w:color="auto"/>
        <w:right w:val="none" w:sz="0" w:space="0" w:color="auto"/>
      </w:divBdr>
    </w:div>
    <w:div w:id="860169670">
      <w:bodyDiv w:val="1"/>
      <w:marLeft w:val="0"/>
      <w:marRight w:val="0"/>
      <w:marTop w:val="0"/>
      <w:marBottom w:val="0"/>
      <w:divBdr>
        <w:top w:val="none" w:sz="0" w:space="0" w:color="auto"/>
        <w:left w:val="none" w:sz="0" w:space="0" w:color="auto"/>
        <w:bottom w:val="none" w:sz="0" w:space="0" w:color="auto"/>
        <w:right w:val="none" w:sz="0" w:space="0" w:color="auto"/>
      </w:divBdr>
      <w:divsChild>
        <w:div w:id="956763086">
          <w:marLeft w:val="0"/>
          <w:marRight w:val="0"/>
          <w:marTop w:val="0"/>
          <w:marBottom w:val="0"/>
          <w:divBdr>
            <w:top w:val="none" w:sz="0" w:space="0" w:color="auto"/>
            <w:left w:val="none" w:sz="0" w:space="0" w:color="auto"/>
            <w:bottom w:val="none" w:sz="0" w:space="0" w:color="auto"/>
            <w:right w:val="none" w:sz="0" w:space="0" w:color="auto"/>
          </w:divBdr>
        </w:div>
        <w:div w:id="1614970702">
          <w:marLeft w:val="0"/>
          <w:marRight w:val="0"/>
          <w:marTop w:val="0"/>
          <w:marBottom w:val="0"/>
          <w:divBdr>
            <w:top w:val="none" w:sz="0" w:space="0" w:color="auto"/>
            <w:left w:val="none" w:sz="0" w:space="0" w:color="auto"/>
            <w:bottom w:val="none" w:sz="0" w:space="0" w:color="auto"/>
            <w:right w:val="none" w:sz="0" w:space="0" w:color="auto"/>
          </w:divBdr>
        </w:div>
        <w:div w:id="146020952">
          <w:marLeft w:val="0"/>
          <w:marRight w:val="0"/>
          <w:marTop w:val="0"/>
          <w:marBottom w:val="0"/>
          <w:divBdr>
            <w:top w:val="none" w:sz="0" w:space="0" w:color="auto"/>
            <w:left w:val="none" w:sz="0" w:space="0" w:color="auto"/>
            <w:bottom w:val="none" w:sz="0" w:space="0" w:color="auto"/>
            <w:right w:val="none" w:sz="0" w:space="0" w:color="auto"/>
          </w:divBdr>
        </w:div>
        <w:div w:id="1095859961">
          <w:marLeft w:val="0"/>
          <w:marRight w:val="0"/>
          <w:marTop w:val="0"/>
          <w:marBottom w:val="0"/>
          <w:divBdr>
            <w:top w:val="none" w:sz="0" w:space="0" w:color="auto"/>
            <w:left w:val="none" w:sz="0" w:space="0" w:color="auto"/>
            <w:bottom w:val="none" w:sz="0" w:space="0" w:color="auto"/>
            <w:right w:val="none" w:sz="0" w:space="0" w:color="auto"/>
          </w:divBdr>
        </w:div>
      </w:divsChild>
    </w:div>
    <w:div w:id="860170075">
      <w:bodyDiv w:val="1"/>
      <w:marLeft w:val="0"/>
      <w:marRight w:val="0"/>
      <w:marTop w:val="0"/>
      <w:marBottom w:val="0"/>
      <w:divBdr>
        <w:top w:val="none" w:sz="0" w:space="0" w:color="auto"/>
        <w:left w:val="none" w:sz="0" w:space="0" w:color="auto"/>
        <w:bottom w:val="none" w:sz="0" w:space="0" w:color="auto"/>
        <w:right w:val="none" w:sz="0" w:space="0" w:color="auto"/>
      </w:divBdr>
    </w:div>
    <w:div w:id="865102079">
      <w:bodyDiv w:val="1"/>
      <w:marLeft w:val="0"/>
      <w:marRight w:val="0"/>
      <w:marTop w:val="0"/>
      <w:marBottom w:val="0"/>
      <w:divBdr>
        <w:top w:val="none" w:sz="0" w:space="0" w:color="auto"/>
        <w:left w:val="none" w:sz="0" w:space="0" w:color="auto"/>
        <w:bottom w:val="none" w:sz="0" w:space="0" w:color="auto"/>
        <w:right w:val="none" w:sz="0" w:space="0" w:color="auto"/>
      </w:divBdr>
    </w:div>
    <w:div w:id="866017960">
      <w:bodyDiv w:val="1"/>
      <w:marLeft w:val="0"/>
      <w:marRight w:val="0"/>
      <w:marTop w:val="0"/>
      <w:marBottom w:val="0"/>
      <w:divBdr>
        <w:top w:val="none" w:sz="0" w:space="0" w:color="auto"/>
        <w:left w:val="none" w:sz="0" w:space="0" w:color="auto"/>
        <w:bottom w:val="none" w:sz="0" w:space="0" w:color="auto"/>
        <w:right w:val="none" w:sz="0" w:space="0" w:color="auto"/>
      </w:divBdr>
    </w:div>
    <w:div w:id="871571049">
      <w:bodyDiv w:val="1"/>
      <w:marLeft w:val="0"/>
      <w:marRight w:val="0"/>
      <w:marTop w:val="0"/>
      <w:marBottom w:val="0"/>
      <w:divBdr>
        <w:top w:val="none" w:sz="0" w:space="0" w:color="auto"/>
        <w:left w:val="none" w:sz="0" w:space="0" w:color="auto"/>
        <w:bottom w:val="none" w:sz="0" w:space="0" w:color="auto"/>
        <w:right w:val="none" w:sz="0" w:space="0" w:color="auto"/>
      </w:divBdr>
    </w:div>
    <w:div w:id="872423449">
      <w:bodyDiv w:val="1"/>
      <w:marLeft w:val="0"/>
      <w:marRight w:val="0"/>
      <w:marTop w:val="0"/>
      <w:marBottom w:val="0"/>
      <w:divBdr>
        <w:top w:val="none" w:sz="0" w:space="0" w:color="auto"/>
        <w:left w:val="none" w:sz="0" w:space="0" w:color="auto"/>
        <w:bottom w:val="none" w:sz="0" w:space="0" w:color="auto"/>
        <w:right w:val="none" w:sz="0" w:space="0" w:color="auto"/>
      </w:divBdr>
    </w:div>
    <w:div w:id="876626606">
      <w:bodyDiv w:val="1"/>
      <w:marLeft w:val="0"/>
      <w:marRight w:val="0"/>
      <w:marTop w:val="0"/>
      <w:marBottom w:val="0"/>
      <w:divBdr>
        <w:top w:val="none" w:sz="0" w:space="0" w:color="auto"/>
        <w:left w:val="none" w:sz="0" w:space="0" w:color="auto"/>
        <w:bottom w:val="none" w:sz="0" w:space="0" w:color="auto"/>
        <w:right w:val="none" w:sz="0" w:space="0" w:color="auto"/>
      </w:divBdr>
    </w:div>
    <w:div w:id="878932605">
      <w:bodyDiv w:val="1"/>
      <w:marLeft w:val="0"/>
      <w:marRight w:val="0"/>
      <w:marTop w:val="0"/>
      <w:marBottom w:val="0"/>
      <w:divBdr>
        <w:top w:val="none" w:sz="0" w:space="0" w:color="auto"/>
        <w:left w:val="none" w:sz="0" w:space="0" w:color="auto"/>
        <w:bottom w:val="none" w:sz="0" w:space="0" w:color="auto"/>
        <w:right w:val="none" w:sz="0" w:space="0" w:color="auto"/>
      </w:divBdr>
    </w:div>
    <w:div w:id="879559486">
      <w:bodyDiv w:val="1"/>
      <w:marLeft w:val="0"/>
      <w:marRight w:val="0"/>
      <w:marTop w:val="0"/>
      <w:marBottom w:val="0"/>
      <w:divBdr>
        <w:top w:val="none" w:sz="0" w:space="0" w:color="auto"/>
        <w:left w:val="none" w:sz="0" w:space="0" w:color="auto"/>
        <w:bottom w:val="none" w:sz="0" w:space="0" w:color="auto"/>
        <w:right w:val="none" w:sz="0" w:space="0" w:color="auto"/>
      </w:divBdr>
    </w:div>
    <w:div w:id="880168414">
      <w:bodyDiv w:val="1"/>
      <w:marLeft w:val="0"/>
      <w:marRight w:val="0"/>
      <w:marTop w:val="0"/>
      <w:marBottom w:val="0"/>
      <w:divBdr>
        <w:top w:val="none" w:sz="0" w:space="0" w:color="auto"/>
        <w:left w:val="none" w:sz="0" w:space="0" w:color="auto"/>
        <w:bottom w:val="none" w:sz="0" w:space="0" w:color="auto"/>
        <w:right w:val="none" w:sz="0" w:space="0" w:color="auto"/>
      </w:divBdr>
    </w:div>
    <w:div w:id="881792505">
      <w:bodyDiv w:val="1"/>
      <w:marLeft w:val="0"/>
      <w:marRight w:val="0"/>
      <w:marTop w:val="0"/>
      <w:marBottom w:val="0"/>
      <w:divBdr>
        <w:top w:val="none" w:sz="0" w:space="0" w:color="auto"/>
        <w:left w:val="none" w:sz="0" w:space="0" w:color="auto"/>
        <w:bottom w:val="none" w:sz="0" w:space="0" w:color="auto"/>
        <w:right w:val="none" w:sz="0" w:space="0" w:color="auto"/>
      </w:divBdr>
    </w:div>
    <w:div w:id="889607173">
      <w:bodyDiv w:val="1"/>
      <w:marLeft w:val="0"/>
      <w:marRight w:val="0"/>
      <w:marTop w:val="0"/>
      <w:marBottom w:val="0"/>
      <w:divBdr>
        <w:top w:val="none" w:sz="0" w:space="0" w:color="auto"/>
        <w:left w:val="none" w:sz="0" w:space="0" w:color="auto"/>
        <w:bottom w:val="none" w:sz="0" w:space="0" w:color="auto"/>
        <w:right w:val="none" w:sz="0" w:space="0" w:color="auto"/>
      </w:divBdr>
    </w:div>
    <w:div w:id="891815958">
      <w:bodyDiv w:val="1"/>
      <w:marLeft w:val="0"/>
      <w:marRight w:val="0"/>
      <w:marTop w:val="0"/>
      <w:marBottom w:val="0"/>
      <w:divBdr>
        <w:top w:val="none" w:sz="0" w:space="0" w:color="auto"/>
        <w:left w:val="none" w:sz="0" w:space="0" w:color="auto"/>
        <w:bottom w:val="none" w:sz="0" w:space="0" w:color="auto"/>
        <w:right w:val="none" w:sz="0" w:space="0" w:color="auto"/>
      </w:divBdr>
    </w:div>
    <w:div w:id="896819195">
      <w:bodyDiv w:val="1"/>
      <w:marLeft w:val="0"/>
      <w:marRight w:val="0"/>
      <w:marTop w:val="0"/>
      <w:marBottom w:val="0"/>
      <w:divBdr>
        <w:top w:val="none" w:sz="0" w:space="0" w:color="auto"/>
        <w:left w:val="none" w:sz="0" w:space="0" w:color="auto"/>
        <w:bottom w:val="none" w:sz="0" w:space="0" w:color="auto"/>
        <w:right w:val="none" w:sz="0" w:space="0" w:color="auto"/>
      </w:divBdr>
    </w:div>
    <w:div w:id="898325921">
      <w:bodyDiv w:val="1"/>
      <w:marLeft w:val="0"/>
      <w:marRight w:val="0"/>
      <w:marTop w:val="0"/>
      <w:marBottom w:val="0"/>
      <w:divBdr>
        <w:top w:val="none" w:sz="0" w:space="0" w:color="auto"/>
        <w:left w:val="none" w:sz="0" w:space="0" w:color="auto"/>
        <w:bottom w:val="none" w:sz="0" w:space="0" w:color="auto"/>
        <w:right w:val="none" w:sz="0" w:space="0" w:color="auto"/>
      </w:divBdr>
    </w:div>
    <w:div w:id="900675231">
      <w:bodyDiv w:val="1"/>
      <w:marLeft w:val="0"/>
      <w:marRight w:val="0"/>
      <w:marTop w:val="0"/>
      <w:marBottom w:val="0"/>
      <w:divBdr>
        <w:top w:val="none" w:sz="0" w:space="0" w:color="auto"/>
        <w:left w:val="none" w:sz="0" w:space="0" w:color="auto"/>
        <w:bottom w:val="none" w:sz="0" w:space="0" w:color="auto"/>
        <w:right w:val="none" w:sz="0" w:space="0" w:color="auto"/>
      </w:divBdr>
    </w:div>
    <w:div w:id="901403216">
      <w:bodyDiv w:val="1"/>
      <w:marLeft w:val="0"/>
      <w:marRight w:val="0"/>
      <w:marTop w:val="0"/>
      <w:marBottom w:val="0"/>
      <w:divBdr>
        <w:top w:val="none" w:sz="0" w:space="0" w:color="auto"/>
        <w:left w:val="none" w:sz="0" w:space="0" w:color="auto"/>
        <w:bottom w:val="none" w:sz="0" w:space="0" w:color="auto"/>
        <w:right w:val="none" w:sz="0" w:space="0" w:color="auto"/>
      </w:divBdr>
    </w:div>
    <w:div w:id="904073403">
      <w:bodyDiv w:val="1"/>
      <w:marLeft w:val="0"/>
      <w:marRight w:val="0"/>
      <w:marTop w:val="0"/>
      <w:marBottom w:val="0"/>
      <w:divBdr>
        <w:top w:val="none" w:sz="0" w:space="0" w:color="auto"/>
        <w:left w:val="none" w:sz="0" w:space="0" w:color="auto"/>
        <w:bottom w:val="none" w:sz="0" w:space="0" w:color="auto"/>
        <w:right w:val="none" w:sz="0" w:space="0" w:color="auto"/>
      </w:divBdr>
    </w:div>
    <w:div w:id="906577420">
      <w:bodyDiv w:val="1"/>
      <w:marLeft w:val="0"/>
      <w:marRight w:val="0"/>
      <w:marTop w:val="0"/>
      <w:marBottom w:val="0"/>
      <w:divBdr>
        <w:top w:val="none" w:sz="0" w:space="0" w:color="auto"/>
        <w:left w:val="none" w:sz="0" w:space="0" w:color="auto"/>
        <w:bottom w:val="none" w:sz="0" w:space="0" w:color="auto"/>
        <w:right w:val="none" w:sz="0" w:space="0" w:color="auto"/>
      </w:divBdr>
    </w:div>
    <w:div w:id="909199116">
      <w:bodyDiv w:val="1"/>
      <w:marLeft w:val="0"/>
      <w:marRight w:val="0"/>
      <w:marTop w:val="0"/>
      <w:marBottom w:val="0"/>
      <w:divBdr>
        <w:top w:val="none" w:sz="0" w:space="0" w:color="auto"/>
        <w:left w:val="none" w:sz="0" w:space="0" w:color="auto"/>
        <w:bottom w:val="none" w:sz="0" w:space="0" w:color="auto"/>
        <w:right w:val="none" w:sz="0" w:space="0" w:color="auto"/>
      </w:divBdr>
    </w:div>
    <w:div w:id="911351908">
      <w:bodyDiv w:val="1"/>
      <w:marLeft w:val="0"/>
      <w:marRight w:val="0"/>
      <w:marTop w:val="0"/>
      <w:marBottom w:val="0"/>
      <w:divBdr>
        <w:top w:val="none" w:sz="0" w:space="0" w:color="auto"/>
        <w:left w:val="none" w:sz="0" w:space="0" w:color="auto"/>
        <w:bottom w:val="none" w:sz="0" w:space="0" w:color="auto"/>
        <w:right w:val="none" w:sz="0" w:space="0" w:color="auto"/>
      </w:divBdr>
    </w:div>
    <w:div w:id="914126805">
      <w:bodyDiv w:val="1"/>
      <w:marLeft w:val="0"/>
      <w:marRight w:val="0"/>
      <w:marTop w:val="0"/>
      <w:marBottom w:val="0"/>
      <w:divBdr>
        <w:top w:val="none" w:sz="0" w:space="0" w:color="auto"/>
        <w:left w:val="none" w:sz="0" w:space="0" w:color="auto"/>
        <w:bottom w:val="none" w:sz="0" w:space="0" w:color="auto"/>
        <w:right w:val="none" w:sz="0" w:space="0" w:color="auto"/>
      </w:divBdr>
    </w:div>
    <w:div w:id="917010576">
      <w:bodyDiv w:val="1"/>
      <w:marLeft w:val="0"/>
      <w:marRight w:val="0"/>
      <w:marTop w:val="0"/>
      <w:marBottom w:val="0"/>
      <w:divBdr>
        <w:top w:val="none" w:sz="0" w:space="0" w:color="auto"/>
        <w:left w:val="none" w:sz="0" w:space="0" w:color="auto"/>
        <w:bottom w:val="none" w:sz="0" w:space="0" w:color="auto"/>
        <w:right w:val="none" w:sz="0" w:space="0" w:color="auto"/>
      </w:divBdr>
    </w:div>
    <w:div w:id="917640790">
      <w:bodyDiv w:val="1"/>
      <w:marLeft w:val="0"/>
      <w:marRight w:val="0"/>
      <w:marTop w:val="0"/>
      <w:marBottom w:val="0"/>
      <w:divBdr>
        <w:top w:val="none" w:sz="0" w:space="0" w:color="auto"/>
        <w:left w:val="none" w:sz="0" w:space="0" w:color="auto"/>
        <w:bottom w:val="none" w:sz="0" w:space="0" w:color="auto"/>
        <w:right w:val="none" w:sz="0" w:space="0" w:color="auto"/>
      </w:divBdr>
    </w:div>
    <w:div w:id="920799480">
      <w:bodyDiv w:val="1"/>
      <w:marLeft w:val="0"/>
      <w:marRight w:val="0"/>
      <w:marTop w:val="0"/>
      <w:marBottom w:val="0"/>
      <w:divBdr>
        <w:top w:val="none" w:sz="0" w:space="0" w:color="auto"/>
        <w:left w:val="none" w:sz="0" w:space="0" w:color="auto"/>
        <w:bottom w:val="none" w:sz="0" w:space="0" w:color="auto"/>
        <w:right w:val="none" w:sz="0" w:space="0" w:color="auto"/>
      </w:divBdr>
    </w:div>
    <w:div w:id="922295423">
      <w:bodyDiv w:val="1"/>
      <w:marLeft w:val="0"/>
      <w:marRight w:val="0"/>
      <w:marTop w:val="0"/>
      <w:marBottom w:val="0"/>
      <w:divBdr>
        <w:top w:val="none" w:sz="0" w:space="0" w:color="auto"/>
        <w:left w:val="none" w:sz="0" w:space="0" w:color="auto"/>
        <w:bottom w:val="none" w:sz="0" w:space="0" w:color="auto"/>
        <w:right w:val="none" w:sz="0" w:space="0" w:color="auto"/>
      </w:divBdr>
      <w:divsChild>
        <w:div w:id="1362973084">
          <w:marLeft w:val="0"/>
          <w:marRight w:val="0"/>
          <w:marTop w:val="15"/>
          <w:marBottom w:val="0"/>
          <w:divBdr>
            <w:top w:val="none" w:sz="0" w:space="0" w:color="auto"/>
            <w:left w:val="none" w:sz="0" w:space="0" w:color="auto"/>
            <w:bottom w:val="none" w:sz="0" w:space="0" w:color="auto"/>
            <w:right w:val="none" w:sz="0" w:space="0" w:color="auto"/>
          </w:divBdr>
          <w:divsChild>
            <w:div w:id="550580776">
              <w:marLeft w:val="0"/>
              <w:marRight w:val="0"/>
              <w:marTop w:val="0"/>
              <w:marBottom w:val="0"/>
              <w:divBdr>
                <w:top w:val="none" w:sz="0" w:space="0" w:color="auto"/>
                <w:left w:val="none" w:sz="0" w:space="0" w:color="auto"/>
                <w:bottom w:val="none" w:sz="0" w:space="0" w:color="auto"/>
                <w:right w:val="none" w:sz="0" w:space="0" w:color="auto"/>
              </w:divBdr>
              <w:divsChild>
                <w:div w:id="949119219">
                  <w:marLeft w:val="0"/>
                  <w:marRight w:val="0"/>
                  <w:marTop w:val="0"/>
                  <w:marBottom w:val="0"/>
                  <w:divBdr>
                    <w:top w:val="none" w:sz="0" w:space="0" w:color="auto"/>
                    <w:left w:val="none" w:sz="0" w:space="0" w:color="auto"/>
                    <w:bottom w:val="none" w:sz="0" w:space="0" w:color="auto"/>
                    <w:right w:val="none" w:sz="0" w:space="0" w:color="auto"/>
                  </w:divBdr>
                </w:div>
                <w:div w:id="1483737276">
                  <w:marLeft w:val="0"/>
                  <w:marRight w:val="0"/>
                  <w:marTop w:val="0"/>
                  <w:marBottom w:val="0"/>
                  <w:divBdr>
                    <w:top w:val="none" w:sz="0" w:space="0" w:color="auto"/>
                    <w:left w:val="none" w:sz="0" w:space="0" w:color="auto"/>
                    <w:bottom w:val="none" w:sz="0" w:space="0" w:color="auto"/>
                    <w:right w:val="none" w:sz="0" w:space="0" w:color="auto"/>
                  </w:divBdr>
                </w:div>
                <w:div w:id="702826340">
                  <w:marLeft w:val="0"/>
                  <w:marRight w:val="0"/>
                  <w:marTop w:val="0"/>
                  <w:marBottom w:val="0"/>
                  <w:divBdr>
                    <w:top w:val="none" w:sz="0" w:space="0" w:color="auto"/>
                    <w:left w:val="none" w:sz="0" w:space="0" w:color="auto"/>
                    <w:bottom w:val="none" w:sz="0" w:space="0" w:color="auto"/>
                    <w:right w:val="none" w:sz="0" w:space="0" w:color="auto"/>
                  </w:divBdr>
                </w:div>
                <w:div w:id="1840656726">
                  <w:marLeft w:val="0"/>
                  <w:marRight w:val="0"/>
                  <w:marTop w:val="0"/>
                  <w:marBottom w:val="0"/>
                  <w:divBdr>
                    <w:top w:val="none" w:sz="0" w:space="0" w:color="auto"/>
                    <w:left w:val="none" w:sz="0" w:space="0" w:color="auto"/>
                    <w:bottom w:val="none" w:sz="0" w:space="0" w:color="auto"/>
                    <w:right w:val="none" w:sz="0" w:space="0" w:color="auto"/>
                  </w:divBdr>
                </w:div>
                <w:div w:id="953251915">
                  <w:marLeft w:val="0"/>
                  <w:marRight w:val="0"/>
                  <w:marTop w:val="0"/>
                  <w:marBottom w:val="0"/>
                  <w:divBdr>
                    <w:top w:val="none" w:sz="0" w:space="0" w:color="auto"/>
                    <w:left w:val="none" w:sz="0" w:space="0" w:color="auto"/>
                    <w:bottom w:val="none" w:sz="0" w:space="0" w:color="auto"/>
                    <w:right w:val="none" w:sz="0" w:space="0" w:color="auto"/>
                  </w:divBdr>
                </w:div>
                <w:div w:id="2052533198">
                  <w:marLeft w:val="0"/>
                  <w:marRight w:val="0"/>
                  <w:marTop w:val="0"/>
                  <w:marBottom w:val="0"/>
                  <w:divBdr>
                    <w:top w:val="none" w:sz="0" w:space="0" w:color="auto"/>
                    <w:left w:val="none" w:sz="0" w:space="0" w:color="auto"/>
                    <w:bottom w:val="none" w:sz="0" w:space="0" w:color="auto"/>
                    <w:right w:val="none" w:sz="0" w:space="0" w:color="auto"/>
                  </w:divBdr>
                </w:div>
                <w:div w:id="55864487">
                  <w:marLeft w:val="0"/>
                  <w:marRight w:val="0"/>
                  <w:marTop w:val="0"/>
                  <w:marBottom w:val="0"/>
                  <w:divBdr>
                    <w:top w:val="none" w:sz="0" w:space="0" w:color="auto"/>
                    <w:left w:val="none" w:sz="0" w:space="0" w:color="auto"/>
                    <w:bottom w:val="none" w:sz="0" w:space="0" w:color="auto"/>
                    <w:right w:val="none" w:sz="0" w:space="0" w:color="auto"/>
                  </w:divBdr>
                </w:div>
                <w:div w:id="1898856760">
                  <w:marLeft w:val="0"/>
                  <w:marRight w:val="0"/>
                  <w:marTop w:val="0"/>
                  <w:marBottom w:val="0"/>
                  <w:divBdr>
                    <w:top w:val="none" w:sz="0" w:space="0" w:color="auto"/>
                    <w:left w:val="none" w:sz="0" w:space="0" w:color="auto"/>
                    <w:bottom w:val="none" w:sz="0" w:space="0" w:color="auto"/>
                    <w:right w:val="none" w:sz="0" w:space="0" w:color="auto"/>
                  </w:divBdr>
                </w:div>
                <w:div w:id="433869218">
                  <w:marLeft w:val="0"/>
                  <w:marRight w:val="0"/>
                  <w:marTop w:val="0"/>
                  <w:marBottom w:val="0"/>
                  <w:divBdr>
                    <w:top w:val="none" w:sz="0" w:space="0" w:color="auto"/>
                    <w:left w:val="none" w:sz="0" w:space="0" w:color="auto"/>
                    <w:bottom w:val="none" w:sz="0" w:space="0" w:color="auto"/>
                    <w:right w:val="none" w:sz="0" w:space="0" w:color="auto"/>
                  </w:divBdr>
                </w:div>
                <w:div w:id="1426345471">
                  <w:marLeft w:val="0"/>
                  <w:marRight w:val="0"/>
                  <w:marTop w:val="0"/>
                  <w:marBottom w:val="0"/>
                  <w:divBdr>
                    <w:top w:val="none" w:sz="0" w:space="0" w:color="auto"/>
                    <w:left w:val="none" w:sz="0" w:space="0" w:color="auto"/>
                    <w:bottom w:val="none" w:sz="0" w:space="0" w:color="auto"/>
                    <w:right w:val="none" w:sz="0" w:space="0" w:color="auto"/>
                  </w:divBdr>
                </w:div>
                <w:div w:id="1181314778">
                  <w:marLeft w:val="0"/>
                  <w:marRight w:val="0"/>
                  <w:marTop w:val="0"/>
                  <w:marBottom w:val="0"/>
                  <w:divBdr>
                    <w:top w:val="none" w:sz="0" w:space="0" w:color="auto"/>
                    <w:left w:val="none" w:sz="0" w:space="0" w:color="auto"/>
                    <w:bottom w:val="none" w:sz="0" w:space="0" w:color="auto"/>
                    <w:right w:val="none" w:sz="0" w:space="0" w:color="auto"/>
                  </w:divBdr>
                </w:div>
                <w:div w:id="1302615378">
                  <w:marLeft w:val="0"/>
                  <w:marRight w:val="0"/>
                  <w:marTop w:val="0"/>
                  <w:marBottom w:val="0"/>
                  <w:divBdr>
                    <w:top w:val="none" w:sz="0" w:space="0" w:color="auto"/>
                    <w:left w:val="none" w:sz="0" w:space="0" w:color="auto"/>
                    <w:bottom w:val="none" w:sz="0" w:space="0" w:color="auto"/>
                    <w:right w:val="none" w:sz="0" w:space="0" w:color="auto"/>
                  </w:divBdr>
                </w:div>
                <w:div w:id="1300575293">
                  <w:marLeft w:val="0"/>
                  <w:marRight w:val="0"/>
                  <w:marTop w:val="0"/>
                  <w:marBottom w:val="0"/>
                  <w:divBdr>
                    <w:top w:val="none" w:sz="0" w:space="0" w:color="auto"/>
                    <w:left w:val="none" w:sz="0" w:space="0" w:color="auto"/>
                    <w:bottom w:val="none" w:sz="0" w:space="0" w:color="auto"/>
                    <w:right w:val="none" w:sz="0" w:space="0" w:color="auto"/>
                  </w:divBdr>
                </w:div>
                <w:div w:id="389504769">
                  <w:marLeft w:val="0"/>
                  <w:marRight w:val="0"/>
                  <w:marTop w:val="0"/>
                  <w:marBottom w:val="0"/>
                  <w:divBdr>
                    <w:top w:val="none" w:sz="0" w:space="0" w:color="auto"/>
                    <w:left w:val="none" w:sz="0" w:space="0" w:color="auto"/>
                    <w:bottom w:val="none" w:sz="0" w:space="0" w:color="auto"/>
                    <w:right w:val="none" w:sz="0" w:space="0" w:color="auto"/>
                  </w:divBdr>
                </w:div>
                <w:div w:id="1524903583">
                  <w:marLeft w:val="0"/>
                  <w:marRight w:val="0"/>
                  <w:marTop w:val="0"/>
                  <w:marBottom w:val="0"/>
                  <w:divBdr>
                    <w:top w:val="none" w:sz="0" w:space="0" w:color="auto"/>
                    <w:left w:val="none" w:sz="0" w:space="0" w:color="auto"/>
                    <w:bottom w:val="none" w:sz="0" w:space="0" w:color="auto"/>
                    <w:right w:val="none" w:sz="0" w:space="0" w:color="auto"/>
                  </w:divBdr>
                </w:div>
                <w:div w:id="551891028">
                  <w:marLeft w:val="0"/>
                  <w:marRight w:val="0"/>
                  <w:marTop w:val="0"/>
                  <w:marBottom w:val="0"/>
                  <w:divBdr>
                    <w:top w:val="none" w:sz="0" w:space="0" w:color="auto"/>
                    <w:left w:val="none" w:sz="0" w:space="0" w:color="auto"/>
                    <w:bottom w:val="none" w:sz="0" w:space="0" w:color="auto"/>
                    <w:right w:val="none" w:sz="0" w:space="0" w:color="auto"/>
                  </w:divBdr>
                </w:div>
                <w:div w:id="587349399">
                  <w:marLeft w:val="0"/>
                  <w:marRight w:val="0"/>
                  <w:marTop w:val="0"/>
                  <w:marBottom w:val="0"/>
                  <w:divBdr>
                    <w:top w:val="none" w:sz="0" w:space="0" w:color="auto"/>
                    <w:left w:val="none" w:sz="0" w:space="0" w:color="auto"/>
                    <w:bottom w:val="none" w:sz="0" w:space="0" w:color="auto"/>
                    <w:right w:val="none" w:sz="0" w:space="0" w:color="auto"/>
                  </w:divBdr>
                </w:div>
                <w:div w:id="1666736133">
                  <w:marLeft w:val="0"/>
                  <w:marRight w:val="0"/>
                  <w:marTop w:val="0"/>
                  <w:marBottom w:val="0"/>
                  <w:divBdr>
                    <w:top w:val="none" w:sz="0" w:space="0" w:color="auto"/>
                    <w:left w:val="none" w:sz="0" w:space="0" w:color="auto"/>
                    <w:bottom w:val="none" w:sz="0" w:space="0" w:color="auto"/>
                    <w:right w:val="none" w:sz="0" w:space="0" w:color="auto"/>
                  </w:divBdr>
                </w:div>
                <w:div w:id="1010915996">
                  <w:marLeft w:val="0"/>
                  <w:marRight w:val="0"/>
                  <w:marTop w:val="0"/>
                  <w:marBottom w:val="0"/>
                  <w:divBdr>
                    <w:top w:val="none" w:sz="0" w:space="0" w:color="auto"/>
                    <w:left w:val="none" w:sz="0" w:space="0" w:color="auto"/>
                    <w:bottom w:val="none" w:sz="0" w:space="0" w:color="auto"/>
                    <w:right w:val="none" w:sz="0" w:space="0" w:color="auto"/>
                  </w:divBdr>
                </w:div>
                <w:div w:id="1141921266">
                  <w:marLeft w:val="0"/>
                  <w:marRight w:val="0"/>
                  <w:marTop w:val="0"/>
                  <w:marBottom w:val="0"/>
                  <w:divBdr>
                    <w:top w:val="none" w:sz="0" w:space="0" w:color="auto"/>
                    <w:left w:val="none" w:sz="0" w:space="0" w:color="auto"/>
                    <w:bottom w:val="none" w:sz="0" w:space="0" w:color="auto"/>
                    <w:right w:val="none" w:sz="0" w:space="0" w:color="auto"/>
                  </w:divBdr>
                </w:div>
                <w:div w:id="1093863139">
                  <w:marLeft w:val="0"/>
                  <w:marRight w:val="0"/>
                  <w:marTop w:val="0"/>
                  <w:marBottom w:val="0"/>
                  <w:divBdr>
                    <w:top w:val="none" w:sz="0" w:space="0" w:color="auto"/>
                    <w:left w:val="none" w:sz="0" w:space="0" w:color="auto"/>
                    <w:bottom w:val="none" w:sz="0" w:space="0" w:color="auto"/>
                    <w:right w:val="none" w:sz="0" w:space="0" w:color="auto"/>
                  </w:divBdr>
                </w:div>
                <w:div w:id="1248884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918994">
          <w:marLeft w:val="0"/>
          <w:marRight w:val="0"/>
          <w:marTop w:val="15"/>
          <w:marBottom w:val="0"/>
          <w:divBdr>
            <w:top w:val="none" w:sz="0" w:space="0" w:color="auto"/>
            <w:left w:val="none" w:sz="0" w:space="0" w:color="auto"/>
            <w:bottom w:val="none" w:sz="0" w:space="0" w:color="auto"/>
            <w:right w:val="none" w:sz="0" w:space="0" w:color="auto"/>
          </w:divBdr>
          <w:divsChild>
            <w:div w:id="223948702">
              <w:marLeft w:val="0"/>
              <w:marRight w:val="0"/>
              <w:marTop w:val="0"/>
              <w:marBottom w:val="0"/>
              <w:divBdr>
                <w:top w:val="none" w:sz="0" w:space="0" w:color="auto"/>
                <w:left w:val="none" w:sz="0" w:space="0" w:color="auto"/>
                <w:bottom w:val="none" w:sz="0" w:space="0" w:color="auto"/>
                <w:right w:val="none" w:sz="0" w:space="0" w:color="auto"/>
              </w:divBdr>
              <w:divsChild>
                <w:div w:id="2062946786">
                  <w:marLeft w:val="0"/>
                  <w:marRight w:val="0"/>
                  <w:marTop w:val="0"/>
                  <w:marBottom w:val="0"/>
                  <w:divBdr>
                    <w:top w:val="none" w:sz="0" w:space="0" w:color="auto"/>
                    <w:left w:val="none" w:sz="0" w:space="0" w:color="auto"/>
                    <w:bottom w:val="none" w:sz="0" w:space="0" w:color="auto"/>
                    <w:right w:val="none" w:sz="0" w:space="0" w:color="auto"/>
                  </w:divBdr>
                </w:div>
                <w:div w:id="704717884">
                  <w:marLeft w:val="0"/>
                  <w:marRight w:val="0"/>
                  <w:marTop w:val="0"/>
                  <w:marBottom w:val="0"/>
                  <w:divBdr>
                    <w:top w:val="none" w:sz="0" w:space="0" w:color="auto"/>
                    <w:left w:val="none" w:sz="0" w:space="0" w:color="auto"/>
                    <w:bottom w:val="none" w:sz="0" w:space="0" w:color="auto"/>
                    <w:right w:val="none" w:sz="0" w:space="0" w:color="auto"/>
                  </w:divBdr>
                </w:div>
                <w:div w:id="305088536">
                  <w:marLeft w:val="0"/>
                  <w:marRight w:val="0"/>
                  <w:marTop w:val="0"/>
                  <w:marBottom w:val="0"/>
                  <w:divBdr>
                    <w:top w:val="none" w:sz="0" w:space="0" w:color="auto"/>
                    <w:left w:val="none" w:sz="0" w:space="0" w:color="auto"/>
                    <w:bottom w:val="none" w:sz="0" w:space="0" w:color="auto"/>
                    <w:right w:val="none" w:sz="0" w:space="0" w:color="auto"/>
                  </w:divBdr>
                </w:div>
                <w:div w:id="1493568535">
                  <w:marLeft w:val="0"/>
                  <w:marRight w:val="0"/>
                  <w:marTop w:val="0"/>
                  <w:marBottom w:val="0"/>
                  <w:divBdr>
                    <w:top w:val="none" w:sz="0" w:space="0" w:color="auto"/>
                    <w:left w:val="none" w:sz="0" w:space="0" w:color="auto"/>
                    <w:bottom w:val="none" w:sz="0" w:space="0" w:color="auto"/>
                    <w:right w:val="none" w:sz="0" w:space="0" w:color="auto"/>
                  </w:divBdr>
                </w:div>
                <w:div w:id="1809785490">
                  <w:marLeft w:val="0"/>
                  <w:marRight w:val="0"/>
                  <w:marTop w:val="0"/>
                  <w:marBottom w:val="0"/>
                  <w:divBdr>
                    <w:top w:val="none" w:sz="0" w:space="0" w:color="auto"/>
                    <w:left w:val="none" w:sz="0" w:space="0" w:color="auto"/>
                    <w:bottom w:val="none" w:sz="0" w:space="0" w:color="auto"/>
                    <w:right w:val="none" w:sz="0" w:space="0" w:color="auto"/>
                  </w:divBdr>
                </w:div>
                <w:div w:id="1439521295">
                  <w:marLeft w:val="0"/>
                  <w:marRight w:val="0"/>
                  <w:marTop w:val="0"/>
                  <w:marBottom w:val="0"/>
                  <w:divBdr>
                    <w:top w:val="none" w:sz="0" w:space="0" w:color="auto"/>
                    <w:left w:val="none" w:sz="0" w:space="0" w:color="auto"/>
                    <w:bottom w:val="none" w:sz="0" w:space="0" w:color="auto"/>
                    <w:right w:val="none" w:sz="0" w:space="0" w:color="auto"/>
                  </w:divBdr>
                </w:div>
                <w:div w:id="626549650">
                  <w:marLeft w:val="0"/>
                  <w:marRight w:val="0"/>
                  <w:marTop w:val="0"/>
                  <w:marBottom w:val="0"/>
                  <w:divBdr>
                    <w:top w:val="none" w:sz="0" w:space="0" w:color="auto"/>
                    <w:left w:val="none" w:sz="0" w:space="0" w:color="auto"/>
                    <w:bottom w:val="none" w:sz="0" w:space="0" w:color="auto"/>
                    <w:right w:val="none" w:sz="0" w:space="0" w:color="auto"/>
                  </w:divBdr>
                </w:div>
                <w:div w:id="2093744145">
                  <w:marLeft w:val="0"/>
                  <w:marRight w:val="0"/>
                  <w:marTop w:val="0"/>
                  <w:marBottom w:val="0"/>
                  <w:divBdr>
                    <w:top w:val="none" w:sz="0" w:space="0" w:color="auto"/>
                    <w:left w:val="none" w:sz="0" w:space="0" w:color="auto"/>
                    <w:bottom w:val="none" w:sz="0" w:space="0" w:color="auto"/>
                    <w:right w:val="none" w:sz="0" w:space="0" w:color="auto"/>
                  </w:divBdr>
                </w:div>
                <w:div w:id="545068077">
                  <w:marLeft w:val="0"/>
                  <w:marRight w:val="0"/>
                  <w:marTop w:val="0"/>
                  <w:marBottom w:val="0"/>
                  <w:divBdr>
                    <w:top w:val="none" w:sz="0" w:space="0" w:color="auto"/>
                    <w:left w:val="none" w:sz="0" w:space="0" w:color="auto"/>
                    <w:bottom w:val="none" w:sz="0" w:space="0" w:color="auto"/>
                    <w:right w:val="none" w:sz="0" w:space="0" w:color="auto"/>
                  </w:divBdr>
                </w:div>
                <w:div w:id="247346622">
                  <w:marLeft w:val="0"/>
                  <w:marRight w:val="0"/>
                  <w:marTop w:val="0"/>
                  <w:marBottom w:val="0"/>
                  <w:divBdr>
                    <w:top w:val="none" w:sz="0" w:space="0" w:color="auto"/>
                    <w:left w:val="none" w:sz="0" w:space="0" w:color="auto"/>
                    <w:bottom w:val="none" w:sz="0" w:space="0" w:color="auto"/>
                    <w:right w:val="none" w:sz="0" w:space="0" w:color="auto"/>
                  </w:divBdr>
                </w:div>
                <w:div w:id="1441611647">
                  <w:marLeft w:val="0"/>
                  <w:marRight w:val="0"/>
                  <w:marTop w:val="0"/>
                  <w:marBottom w:val="0"/>
                  <w:divBdr>
                    <w:top w:val="none" w:sz="0" w:space="0" w:color="auto"/>
                    <w:left w:val="none" w:sz="0" w:space="0" w:color="auto"/>
                    <w:bottom w:val="none" w:sz="0" w:space="0" w:color="auto"/>
                    <w:right w:val="none" w:sz="0" w:space="0" w:color="auto"/>
                  </w:divBdr>
                </w:div>
                <w:div w:id="261963569">
                  <w:marLeft w:val="0"/>
                  <w:marRight w:val="0"/>
                  <w:marTop w:val="0"/>
                  <w:marBottom w:val="0"/>
                  <w:divBdr>
                    <w:top w:val="none" w:sz="0" w:space="0" w:color="auto"/>
                    <w:left w:val="none" w:sz="0" w:space="0" w:color="auto"/>
                    <w:bottom w:val="none" w:sz="0" w:space="0" w:color="auto"/>
                    <w:right w:val="none" w:sz="0" w:space="0" w:color="auto"/>
                  </w:divBdr>
                </w:div>
                <w:div w:id="1692417076">
                  <w:marLeft w:val="0"/>
                  <w:marRight w:val="0"/>
                  <w:marTop w:val="0"/>
                  <w:marBottom w:val="0"/>
                  <w:divBdr>
                    <w:top w:val="none" w:sz="0" w:space="0" w:color="auto"/>
                    <w:left w:val="none" w:sz="0" w:space="0" w:color="auto"/>
                    <w:bottom w:val="none" w:sz="0" w:space="0" w:color="auto"/>
                    <w:right w:val="none" w:sz="0" w:space="0" w:color="auto"/>
                  </w:divBdr>
                </w:div>
                <w:div w:id="834952669">
                  <w:marLeft w:val="0"/>
                  <w:marRight w:val="0"/>
                  <w:marTop w:val="0"/>
                  <w:marBottom w:val="0"/>
                  <w:divBdr>
                    <w:top w:val="none" w:sz="0" w:space="0" w:color="auto"/>
                    <w:left w:val="none" w:sz="0" w:space="0" w:color="auto"/>
                    <w:bottom w:val="none" w:sz="0" w:space="0" w:color="auto"/>
                    <w:right w:val="none" w:sz="0" w:space="0" w:color="auto"/>
                  </w:divBdr>
                </w:div>
                <w:div w:id="210000533">
                  <w:marLeft w:val="0"/>
                  <w:marRight w:val="0"/>
                  <w:marTop w:val="0"/>
                  <w:marBottom w:val="0"/>
                  <w:divBdr>
                    <w:top w:val="none" w:sz="0" w:space="0" w:color="auto"/>
                    <w:left w:val="none" w:sz="0" w:space="0" w:color="auto"/>
                    <w:bottom w:val="none" w:sz="0" w:space="0" w:color="auto"/>
                    <w:right w:val="none" w:sz="0" w:space="0" w:color="auto"/>
                  </w:divBdr>
                </w:div>
                <w:div w:id="671377598">
                  <w:marLeft w:val="0"/>
                  <w:marRight w:val="0"/>
                  <w:marTop w:val="0"/>
                  <w:marBottom w:val="0"/>
                  <w:divBdr>
                    <w:top w:val="none" w:sz="0" w:space="0" w:color="auto"/>
                    <w:left w:val="none" w:sz="0" w:space="0" w:color="auto"/>
                    <w:bottom w:val="none" w:sz="0" w:space="0" w:color="auto"/>
                    <w:right w:val="none" w:sz="0" w:space="0" w:color="auto"/>
                  </w:divBdr>
                </w:div>
                <w:div w:id="1950551199">
                  <w:marLeft w:val="0"/>
                  <w:marRight w:val="0"/>
                  <w:marTop w:val="0"/>
                  <w:marBottom w:val="0"/>
                  <w:divBdr>
                    <w:top w:val="none" w:sz="0" w:space="0" w:color="auto"/>
                    <w:left w:val="none" w:sz="0" w:space="0" w:color="auto"/>
                    <w:bottom w:val="none" w:sz="0" w:space="0" w:color="auto"/>
                    <w:right w:val="none" w:sz="0" w:space="0" w:color="auto"/>
                  </w:divBdr>
                </w:div>
                <w:div w:id="917329746">
                  <w:marLeft w:val="0"/>
                  <w:marRight w:val="0"/>
                  <w:marTop w:val="0"/>
                  <w:marBottom w:val="0"/>
                  <w:divBdr>
                    <w:top w:val="none" w:sz="0" w:space="0" w:color="auto"/>
                    <w:left w:val="none" w:sz="0" w:space="0" w:color="auto"/>
                    <w:bottom w:val="none" w:sz="0" w:space="0" w:color="auto"/>
                    <w:right w:val="none" w:sz="0" w:space="0" w:color="auto"/>
                  </w:divBdr>
                </w:div>
                <w:div w:id="2077312812">
                  <w:marLeft w:val="0"/>
                  <w:marRight w:val="0"/>
                  <w:marTop w:val="0"/>
                  <w:marBottom w:val="0"/>
                  <w:divBdr>
                    <w:top w:val="none" w:sz="0" w:space="0" w:color="auto"/>
                    <w:left w:val="none" w:sz="0" w:space="0" w:color="auto"/>
                    <w:bottom w:val="none" w:sz="0" w:space="0" w:color="auto"/>
                    <w:right w:val="none" w:sz="0" w:space="0" w:color="auto"/>
                  </w:divBdr>
                </w:div>
                <w:div w:id="92287336">
                  <w:marLeft w:val="0"/>
                  <w:marRight w:val="0"/>
                  <w:marTop w:val="0"/>
                  <w:marBottom w:val="0"/>
                  <w:divBdr>
                    <w:top w:val="none" w:sz="0" w:space="0" w:color="auto"/>
                    <w:left w:val="none" w:sz="0" w:space="0" w:color="auto"/>
                    <w:bottom w:val="none" w:sz="0" w:space="0" w:color="auto"/>
                    <w:right w:val="none" w:sz="0" w:space="0" w:color="auto"/>
                  </w:divBdr>
                </w:div>
                <w:div w:id="1922833694">
                  <w:marLeft w:val="0"/>
                  <w:marRight w:val="0"/>
                  <w:marTop w:val="0"/>
                  <w:marBottom w:val="0"/>
                  <w:divBdr>
                    <w:top w:val="none" w:sz="0" w:space="0" w:color="auto"/>
                    <w:left w:val="none" w:sz="0" w:space="0" w:color="auto"/>
                    <w:bottom w:val="none" w:sz="0" w:space="0" w:color="auto"/>
                    <w:right w:val="none" w:sz="0" w:space="0" w:color="auto"/>
                  </w:divBdr>
                </w:div>
                <w:div w:id="686177378">
                  <w:marLeft w:val="0"/>
                  <w:marRight w:val="0"/>
                  <w:marTop w:val="0"/>
                  <w:marBottom w:val="0"/>
                  <w:divBdr>
                    <w:top w:val="none" w:sz="0" w:space="0" w:color="auto"/>
                    <w:left w:val="none" w:sz="0" w:space="0" w:color="auto"/>
                    <w:bottom w:val="none" w:sz="0" w:space="0" w:color="auto"/>
                    <w:right w:val="none" w:sz="0" w:space="0" w:color="auto"/>
                  </w:divBdr>
                </w:div>
                <w:div w:id="638922688">
                  <w:marLeft w:val="0"/>
                  <w:marRight w:val="0"/>
                  <w:marTop w:val="0"/>
                  <w:marBottom w:val="0"/>
                  <w:divBdr>
                    <w:top w:val="none" w:sz="0" w:space="0" w:color="auto"/>
                    <w:left w:val="none" w:sz="0" w:space="0" w:color="auto"/>
                    <w:bottom w:val="none" w:sz="0" w:space="0" w:color="auto"/>
                    <w:right w:val="none" w:sz="0" w:space="0" w:color="auto"/>
                  </w:divBdr>
                </w:div>
                <w:div w:id="2067292990">
                  <w:marLeft w:val="0"/>
                  <w:marRight w:val="0"/>
                  <w:marTop w:val="0"/>
                  <w:marBottom w:val="0"/>
                  <w:divBdr>
                    <w:top w:val="none" w:sz="0" w:space="0" w:color="auto"/>
                    <w:left w:val="none" w:sz="0" w:space="0" w:color="auto"/>
                    <w:bottom w:val="none" w:sz="0" w:space="0" w:color="auto"/>
                    <w:right w:val="none" w:sz="0" w:space="0" w:color="auto"/>
                  </w:divBdr>
                </w:div>
                <w:div w:id="1598177392">
                  <w:marLeft w:val="0"/>
                  <w:marRight w:val="0"/>
                  <w:marTop w:val="0"/>
                  <w:marBottom w:val="0"/>
                  <w:divBdr>
                    <w:top w:val="none" w:sz="0" w:space="0" w:color="auto"/>
                    <w:left w:val="none" w:sz="0" w:space="0" w:color="auto"/>
                    <w:bottom w:val="none" w:sz="0" w:space="0" w:color="auto"/>
                    <w:right w:val="none" w:sz="0" w:space="0" w:color="auto"/>
                  </w:divBdr>
                </w:div>
                <w:div w:id="629287678">
                  <w:marLeft w:val="0"/>
                  <w:marRight w:val="0"/>
                  <w:marTop w:val="0"/>
                  <w:marBottom w:val="0"/>
                  <w:divBdr>
                    <w:top w:val="none" w:sz="0" w:space="0" w:color="auto"/>
                    <w:left w:val="none" w:sz="0" w:space="0" w:color="auto"/>
                    <w:bottom w:val="none" w:sz="0" w:space="0" w:color="auto"/>
                    <w:right w:val="none" w:sz="0" w:space="0" w:color="auto"/>
                  </w:divBdr>
                </w:div>
                <w:div w:id="1756975799">
                  <w:marLeft w:val="0"/>
                  <w:marRight w:val="0"/>
                  <w:marTop w:val="0"/>
                  <w:marBottom w:val="0"/>
                  <w:divBdr>
                    <w:top w:val="none" w:sz="0" w:space="0" w:color="auto"/>
                    <w:left w:val="none" w:sz="0" w:space="0" w:color="auto"/>
                    <w:bottom w:val="none" w:sz="0" w:space="0" w:color="auto"/>
                    <w:right w:val="none" w:sz="0" w:space="0" w:color="auto"/>
                  </w:divBdr>
                </w:div>
                <w:div w:id="1294018068">
                  <w:marLeft w:val="0"/>
                  <w:marRight w:val="0"/>
                  <w:marTop w:val="0"/>
                  <w:marBottom w:val="0"/>
                  <w:divBdr>
                    <w:top w:val="none" w:sz="0" w:space="0" w:color="auto"/>
                    <w:left w:val="none" w:sz="0" w:space="0" w:color="auto"/>
                    <w:bottom w:val="none" w:sz="0" w:space="0" w:color="auto"/>
                    <w:right w:val="none" w:sz="0" w:space="0" w:color="auto"/>
                  </w:divBdr>
                </w:div>
                <w:div w:id="1504322721">
                  <w:marLeft w:val="0"/>
                  <w:marRight w:val="0"/>
                  <w:marTop w:val="0"/>
                  <w:marBottom w:val="0"/>
                  <w:divBdr>
                    <w:top w:val="none" w:sz="0" w:space="0" w:color="auto"/>
                    <w:left w:val="none" w:sz="0" w:space="0" w:color="auto"/>
                    <w:bottom w:val="none" w:sz="0" w:space="0" w:color="auto"/>
                    <w:right w:val="none" w:sz="0" w:space="0" w:color="auto"/>
                  </w:divBdr>
                </w:div>
                <w:div w:id="1446997096">
                  <w:marLeft w:val="0"/>
                  <w:marRight w:val="0"/>
                  <w:marTop w:val="0"/>
                  <w:marBottom w:val="0"/>
                  <w:divBdr>
                    <w:top w:val="none" w:sz="0" w:space="0" w:color="auto"/>
                    <w:left w:val="none" w:sz="0" w:space="0" w:color="auto"/>
                    <w:bottom w:val="none" w:sz="0" w:space="0" w:color="auto"/>
                    <w:right w:val="none" w:sz="0" w:space="0" w:color="auto"/>
                  </w:divBdr>
                </w:div>
                <w:div w:id="2004816135">
                  <w:marLeft w:val="0"/>
                  <w:marRight w:val="0"/>
                  <w:marTop w:val="0"/>
                  <w:marBottom w:val="0"/>
                  <w:divBdr>
                    <w:top w:val="none" w:sz="0" w:space="0" w:color="auto"/>
                    <w:left w:val="none" w:sz="0" w:space="0" w:color="auto"/>
                    <w:bottom w:val="none" w:sz="0" w:space="0" w:color="auto"/>
                    <w:right w:val="none" w:sz="0" w:space="0" w:color="auto"/>
                  </w:divBdr>
                </w:div>
                <w:div w:id="1328244508">
                  <w:marLeft w:val="0"/>
                  <w:marRight w:val="0"/>
                  <w:marTop w:val="0"/>
                  <w:marBottom w:val="0"/>
                  <w:divBdr>
                    <w:top w:val="none" w:sz="0" w:space="0" w:color="auto"/>
                    <w:left w:val="none" w:sz="0" w:space="0" w:color="auto"/>
                    <w:bottom w:val="none" w:sz="0" w:space="0" w:color="auto"/>
                    <w:right w:val="none" w:sz="0" w:space="0" w:color="auto"/>
                  </w:divBdr>
                </w:div>
                <w:div w:id="1423331212">
                  <w:marLeft w:val="0"/>
                  <w:marRight w:val="0"/>
                  <w:marTop w:val="0"/>
                  <w:marBottom w:val="0"/>
                  <w:divBdr>
                    <w:top w:val="none" w:sz="0" w:space="0" w:color="auto"/>
                    <w:left w:val="none" w:sz="0" w:space="0" w:color="auto"/>
                    <w:bottom w:val="none" w:sz="0" w:space="0" w:color="auto"/>
                    <w:right w:val="none" w:sz="0" w:space="0" w:color="auto"/>
                  </w:divBdr>
                </w:div>
                <w:div w:id="158586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766701">
          <w:marLeft w:val="0"/>
          <w:marRight w:val="0"/>
          <w:marTop w:val="15"/>
          <w:marBottom w:val="0"/>
          <w:divBdr>
            <w:top w:val="none" w:sz="0" w:space="0" w:color="auto"/>
            <w:left w:val="none" w:sz="0" w:space="0" w:color="auto"/>
            <w:bottom w:val="none" w:sz="0" w:space="0" w:color="auto"/>
            <w:right w:val="none" w:sz="0" w:space="0" w:color="auto"/>
          </w:divBdr>
          <w:divsChild>
            <w:div w:id="437994684">
              <w:marLeft w:val="0"/>
              <w:marRight w:val="0"/>
              <w:marTop w:val="0"/>
              <w:marBottom w:val="0"/>
              <w:divBdr>
                <w:top w:val="none" w:sz="0" w:space="0" w:color="auto"/>
                <w:left w:val="none" w:sz="0" w:space="0" w:color="auto"/>
                <w:bottom w:val="none" w:sz="0" w:space="0" w:color="auto"/>
                <w:right w:val="none" w:sz="0" w:space="0" w:color="auto"/>
              </w:divBdr>
              <w:divsChild>
                <w:div w:id="203256245">
                  <w:marLeft w:val="0"/>
                  <w:marRight w:val="0"/>
                  <w:marTop w:val="0"/>
                  <w:marBottom w:val="0"/>
                  <w:divBdr>
                    <w:top w:val="none" w:sz="0" w:space="0" w:color="auto"/>
                    <w:left w:val="none" w:sz="0" w:space="0" w:color="auto"/>
                    <w:bottom w:val="none" w:sz="0" w:space="0" w:color="auto"/>
                    <w:right w:val="none" w:sz="0" w:space="0" w:color="auto"/>
                  </w:divBdr>
                </w:div>
                <w:div w:id="1176113122">
                  <w:marLeft w:val="0"/>
                  <w:marRight w:val="0"/>
                  <w:marTop w:val="0"/>
                  <w:marBottom w:val="0"/>
                  <w:divBdr>
                    <w:top w:val="none" w:sz="0" w:space="0" w:color="auto"/>
                    <w:left w:val="none" w:sz="0" w:space="0" w:color="auto"/>
                    <w:bottom w:val="none" w:sz="0" w:space="0" w:color="auto"/>
                    <w:right w:val="none" w:sz="0" w:space="0" w:color="auto"/>
                  </w:divBdr>
                </w:div>
                <w:div w:id="1827160467">
                  <w:marLeft w:val="0"/>
                  <w:marRight w:val="0"/>
                  <w:marTop w:val="0"/>
                  <w:marBottom w:val="0"/>
                  <w:divBdr>
                    <w:top w:val="none" w:sz="0" w:space="0" w:color="auto"/>
                    <w:left w:val="none" w:sz="0" w:space="0" w:color="auto"/>
                    <w:bottom w:val="none" w:sz="0" w:space="0" w:color="auto"/>
                    <w:right w:val="none" w:sz="0" w:space="0" w:color="auto"/>
                  </w:divBdr>
                </w:div>
                <w:div w:id="1000347888">
                  <w:marLeft w:val="0"/>
                  <w:marRight w:val="0"/>
                  <w:marTop w:val="0"/>
                  <w:marBottom w:val="0"/>
                  <w:divBdr>
                    <w:top w:val="none" w:sz="0" w:space="0" w:color="auto"/>
                    <w:left w:val="none" w:sz="0" w:space="0" w:color="auto"/>
                    <w:bottom w:val="none" w:sz="0" w:space="0" w:color="auto"/>
                    <w:right w:val="none" w:sz="0" w:space="0" w:color="auto"/>
                  </w:divBdr>
                </w:div>
                <w:div w:id="1183789079">
                  <w:marLeft w:val="0"/>
                  <w:marRight w:val="0"/>
                  <w:marTop w:val="0"/>
                  <w:marBottom w:val="0"/>
                  <w:divBdr>
                    <w:top w:val="none" w:sz="0" w:space="0" w:color="auto"/>
                    <w:left w:val="none" w:sz="0" w:space="0" w:color="auto"/>
                    <w:bottom w:val="none" w:sz="0" w:space="0" w:color="auto"/>
                    <w:right w:val="none" w:sz="0" w:space="0" w:color="auto"/>
                  </w:divBdr>
                </w:div>
                <w:div w:id="1738358484">
                  <w:marLeft w:val="0"/>
                  <w:marRight w:val="0"/>
                  <w:marTop w:val="0"/>
                  <w:marBottom w:val="0"/>
                  <w:divBdr>
                    <w:top w:val="none" w:sz="0" w:space="0" w:color="auto"/>
                    <w:left w:val="none" w:sz="0" w:space="0" w:color="auto"/>
                    <w:bottom w:val="none" w:sz="0" w:space="0" w:color="auto"/>
                    <w:right w:val="none" w:sz="0" w:space="0" w:color="auto"/>
                  </w:divBdr>
                </w:div>
                <w:div w:id="1681934654">
                  <w:marLeft w:val="0"/>
                  <w:marRight w:val="0"/>
                  <w:marTop w:val="0"/>
                  <w:marBottom w:val="0"/>
                  <w:divBdr>
                    <w:top w:val="none" w:sz="0" w:space="0" w:color="auto"/>
                    <w:left w:val="none" w:sz="0" w:space="0" w:color="auto"/>
                    <w:bottom w:val="none" w:sz="0" w:space="0" w:color="auto"/>
                    <w:right w:val="none" w:sz="0" w:space="0" w:color="auto"/>
                  </w:divBdr>
                </w:div>
                <w:div w:id="1909535917">
                  <w:marLeft w:val="0"/>
                  <w:marRight w:val="0"/>
                  <w:marTop w:val="0"/>
                  <w:marBottom w:val="0"/>
                  <w:divBdr>
                    <w:top w:val="none" w:sz="0" w:space="0" w:color="auto"/>
                    <w:left w:val="none" w:sz="0" w:space="0" w:color="auto"/>
                    <w:bottom w:val="none" w:sz="0" w:space="0" w:color="auto"/>
                    <w:right w:val="none" w:sz="0" w:space="0" w:color="auto"/>
                  </w:divBdr>
                </w:div>
                <w:div w:id="1634285516">
                  <w:marLeft w:val="0"/>
                  <w:marRight w:val="0"/>
                  <w:marTop w:val="0"/>
                  <w:marBottom w:val="0"/>
                  <w:divBdr>
                    <w:top w:val="none" w:sz="0" w:space="0" w:color="auto"/>
                    <w:left w:val="none" w:sz="0" w:space="0" w:color="auto"/>
                    <w:bottom w:val="none" w:sz="0" w:space="0" w:color="auto"/>
                    <w:right w:val="none" w:sz="0" w:space="0" w:color="auto"/>
                  </w:divBdr>
                </w:div>
                <w:div w:id="550574665">
                  <w:marLeft w:val="0"/>
                  <w:marRight w:val="0"/>
                  <w:marTop w:val="0"/>
                  <w:marBottom w:val="0"/>
                  <w:divBdr>
                    <w:top w:val="none" w:sz="0" w:space="0" w:color="auto"/>
                    <w:left w:val="none" w:sz="0" w:space="0" w:color="auto"/>
                    <w:bottom w:val="none" w:sz="0" w:space="0" w:color="auto"/>
                    <w:right w:val="none" w:sz="0" w:space="0" w:color="auto"/>
                  </w:divBdr>
                </w:div>
                <w:div w:id="46269894">
                  <w:marLeft w:val="0"/>
                  <w:marRight w:val="0"/>
                  <w:marTop w:val="0"/>
                  <w:marBottom w:val="0"/>
                  <w:divBdr>
                    <w:top w:val="none" w:sz="0" w:space="0" w:color="auto"/>
                    <w:left w:val="none" w:sz="0" w:space="0" w:color="auto"/>
                    <w:bottom w:val="none" w:sz="0" w:space="0" w:color="auto"/>
                    <w:right w:val="none" w:sz="0" w:space="0" w:color="auto"/>
                  </w:divBdr>
                </w:div>
                <w:div w:id="1990089346">
                  <w:marLeft w:val="0"/>
                  <w:marRight w:val="0"/>
                  <w:marTop w:val="0"/>
                  <w:marBottom w:val="0"/>
                  <w:divBdr>
                    <w:top w:val="none" w:sz="0" w:space="0" w:color="auto"/>
                    <w:left w:val="none" w:sz="0" w:space="0" w:color="auto"/>
                    <w:bottom w:val="none" w:sz="0" w:space="0" w:color="auto"/>
                    <w:right w:val="none" w:sz="0" w:space="0" w:color="auto"/>
                  </w:divBdr>
                </w:div>
                <w:div w:id="1107388749">
                  <w:marLeft w:val="0"/>
                  <w:marRight w:val="0"/>
                  <w:marTop w:val="0"/>
                  <w:marBottom w:val="0"/>
                  <w:divBdr>
                    <w:top w:val="none" w:sz="0" w:space="0" w:color="auto"/>
                    <w:left w:val="none" w:sz="0" w:space="0" w:color="auto"/>
                    <w:bottom w:val="none" w:sz="0" w:space="0" w:color="auto"/>
                    <w:right w:val="none" w:sz="0" w:space="0" w:color="auto"/>
                  </w:divBdr>
                </w:div>
                <w:div w:id="1561595400">
                  <w:marLeft w:val="0"/>
                  <w:marRight w:val="0"/>
                  <w:marTop w:val="0"/>
                  <w:marBottom w:val="0"/>
                  <w:divBdr>
                    <w:top w:val="none" w:sz="0" w:space="0" w:color="auto"/>
                    <w:left w:val="none" w:sz="0" w:space="0" w:color="auto"/>
                    <w:bottom w:val="none" w:sz="0" w:space="0" w:color="auto"/>
                    <w:right w:val="none" w:sz="0" w:space="0" w:color="auto"/>
                  </w:divBdr>
                </w:div>
                <w:div w:id="1700083124">
                  <w:marLeft w:val="0"/>
                  <w:marRight w:val="0"/>
                  <w:marTop w:val="0"/>
                  <w:marBottom w:val="0"/>
                  <w:divBdr>
                    <w:top w:val="none" w:sz="0" w:space="0" w:color="auto"/>
                    <w:left w:val="none" w:sz="0" w:space="0" w:color="auto"/>
                    <w:bottom w:val="none" w:sz="0" w:space="0" w:color="auto"/>
                    <w:right w:val="none" w:sz="0" w:space="0" w:color="auto"/>
                  </w:divBdr>
                </w:div>
                <w:div w:id="1142622038">
                  <w:marLeft w:val="0"/>
                  <w:marRight w:val="0"/>
                  <w:marTop w:val="0"/>
                  <w:marBottom w:val="0"/>
                  <w:divBdr>
                    <w:top w:val="none" w:sz="0" w:space="0" w:color="auto"/>
                    <w:left w:val="none" w:sz="0" w:space="0" w:color="auto"/>
                    <w:bottom w:val="none" w:sz="0" w:space="0" w:color="auto"/>
                    <w:right w:val="none" w:sz="0" w:space="0" w:color="auto"/>
                  </w:divBdr>
                </w:div>
                <w:div w:id="45881440">
                  <w:marLeft w:val="0"/>
                  <w:marRight w:val="0"/>
                  <w:marTop w:val="0"/>
                  <w:marBottom w:val="0"/>
                  <w:divBdr>
                    <w:top w:val="none" w:sz="0" w:space="0" w:color="auto"/>
                    <w:left w:val="none" w:sz="0" w:space="0" w:color="auto"/>
                    <w:bottom w:val="none" w:sz="0" w:space="0" w:color="auto"/>
                    <w:right w:val="none" w:sz="0" w:space="0" w:color="auto"/>
                  </w:divBdr>
                </w:div>
                <w:div w:id="597786307">
                  <w:marLeft w:val="0"/>
                  <w:marRight w:val="0"/>
                  <w:marTop w:val="0"/>
                  <w:marBottom w:val="0"/>
                  <w:divBdr>
                    <w:top w:val="none" w:sz="0" w:space="0" w:color="auto"/>
                    <w:left w:val="none" w:sz="0" w:space="0" w:color="auto"/>
                    <w:bottom w:val="none" w:sz="0" w:space="0" w:color="auto"/>
                    <w:right w:val="none" w:sz="0" w:space="0" w:color="auto"/>
                  </w:divBdr>
                </w:div>
                <w:div w:id="733510099">
                  <w:marLeft w:val="0"/>
                  <w:marRight w:val="0"/>
                  <w:marTop w:val="0"/>
                  <w:marBottom w:val="0"/>
                  <w:divBdr>
                    <w:top w:val="none" w:sz="0" w:space="0" w:color="auto"/>
                    <w:left w:val="none" w:sz="0" w:space="0" w:color="auto"/>
                    <w:bottom w:val="none" w:sz="0" w:space="0" w:color="auto"/>
                    <w:right w:val="none" w:sz="0" w:space="0" w:color="auto"/>
                  </w:divBdr>
                </w:div>
                <w:div w:id="1281842008">
                  <w:marLeft w:val="0"/>
                  <w:marRight w:val="0"/>
                  <w:marTop w:val="0"/>
                  <w:marBottom w:val="0"/>
                  <w:divBdr>
                    <w:top w:val="none" w:sz="0" w:space="0" w:color="auto"/>
                    <w:left w:val="none" w:sz="0" w:space="0" w:color="auto"/>
                    <w:bottom w:val="none" w:sz="0" w:space="0" w:color="auto"/>
                    <w:right w:val="none" w:sz="0" w:space="0" w:color="auto"/>
                  </w:divBdr>
                </w:div>
                <w:div w:id="1907376277">
                  <w:marLeft w:val="0"/>
                  <w:marRight w:val="0"/>
                  <w:marTop w:val="0"/>
                  <w:marBottom w:val="0"/>
                  <w:divBdr>
                    <w:top w:val="none" w:sz="0" w:space="0" w:color="auto"/>
                    <w:left w:val="none" w:sz="0" w:space="0" w:color="auto"/>
                    <w:bottom w:val="none" w:sz="0" w:space="0" w:color="auto"/>
                    <w:right w:val="none" w:sz="0" w:space="0" w:color="auto"/>
                  </w:divBdr>
                </w:div>
                <w:div w:id="718237511">
                  <w:marLeft w:val="0"/>
                  <w:marRight w:val="0"/>
                  <w:marTop w:val="0"/>
                  <w:marBottom w:val="0"/>
                  <w:divBdr>
                    <w:top w:val="none" w:sz="0" w:space="0" w:color="auto"/>
                    <w:left w:val="none" w:sz="0" w:space="0" w:color="auto"/>
                    <w:bottom w:val="none" w:sz="0" w:space="0" w:color="auto"/>
                    <w:right w:val="none" w:sz="0" w:space="0" w:color="auto"/>
                  </w:divBdr>
                </w:div>
                <w:div w:id="727612448">
                  <w:marLeft w:val="0"/>
                  <w:marRight w:val="0"/>
                  <w:marTop w:val="0"/>
                  <w:marBottom w:val="0"/>
                  <w:divBdr>
                    <w:top w:val="none" w:sz="0" w:space="0" w:color="auto"/>
                    <w:left w:val="none" w:sz="0" w:space="0" w:color="auto"/>
                    <w:bottom w:val="none" w:sz="0" w:space="0" w:color="auto"/>
                    <w:right w:val="none" w:sz="0" w:space="0" w:color="auto"/>
                  </w:divBdr>
                </w:div>
                <w:div w:id="1913272186">
                  <w:marLeft w:val="0"/>
                  <w:marRight w:val="0"/>
                  <w:marTop w:val="0"/>
                  <w:marBottom w:val="0"/>
                  <w:divBdr>
                    <w:top w:val="none" w:sz="0" w:space="0" w:color="auto"/>
                    <w:left w:val="none" w:sz="0" w:space="0" w:color="auto"/>
                    <w:bottom w:val="none" w:sz="0" w:space="0" w:color="auto"/>
                    <w:right w:val="none" w:sz="0" w:space="0" w:color="auto"/>
                  </w:divBdr>
                </w:div>
                <w:div w:id="144842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7547">
          <w:marLeft w:val="0"/>
          <w:marRight w:val="0"/>
          <w:marTop w:val="15"/>
          <w:marBottom w:val="0"/>
          <w:divBdr>
            <w:top w:val="none" w:sz="0" w:space="0" w:color="auto"/>
            <w:left w:val="none" w:sz="0" w:space="0" w:color="auto"/>
            <w:bottom w:val="none" w:sz="0" w:space="0" w:color="auto"/>
            <w:right w:val="none" w:sz="0" w:space="0" w:color="auto"/>
          </w:divBdr>
          <w:divsChild>
            <w:div w:id="603613835">
              <w:marLeft w:val="0"/>
              <w:marRight w:val="0"/>
              <w:marTop w:val="0"/>
              <w:marBottom w:val="0"/>
              <w:divBdr>
                <w:top w:val="none" w:sz="0" w:space="0" w:color="auto"/>
                <w:left w:val="none" w:sz="0" w:space="0" w:color="auto"/>
                <w:bottom w:val="none" w:sz="0" w:space="0" w:color="auto"/>
                <w:right w:val="none" w:sz="0" w:space="0" w:color="auto"/>
              </w:divBdr>
              <w:divsChild>
                <w:div w:id="1510480687">
                  <w:marLeft w:val="0"/>
                  <w:marRight w:val="0"/>
                  <w:marTop w:val="0"/>
                  <w:marBottom w:val="0"/>
                  <w:divBdr>
                    <w:top w:val="none" w:sz="0" w:space="0" w:color="auto"/>
                    <w:left w:val="none" w:sz="0" w:space="0" w:color="auto"/>
                    <w:bottom w:val="none" w:sz="0" w:space="0" w:color="auto"/>
                    <w:right w:val="none" w:sz="0" w:space="0" w:color="auto"/>
                  </w:divBdr>
                </w:div>
                <w:div w:id="1906379276">
                  <w:marLeft w:val="0"/>
                  <w:marRight w:val="0"/>
                  <w:marTop w:val="0"/>
                  <w:marBottom w:val="0"/>
                  <w:divBdr>
                    <w:top w:val="none" w:sz="0" w:space="0" w:color="auto"/>
                    <w:left w:val="none" w:sz="0" w:space="0" w:color="auto"/>
                    <w:bottom w:val="none" w:sz="0" w:space="0" w:color="auto"/>
                    <w:right w:val="none" w:sz="0" w:space="0" w:color="auto"/>
                  </w:divBdr>
                </w:div>
                <w:div w:id="2100322186">
                  <w:marLeft w:val="0"/>
                  <w:marRight w:val="0"/>
                  <w:marTop w:val="0"/>
                  <w:marBottom w:val="0"/>
                  <w:divBdr>
                    <w:top w:val="none" w:sz="0" w:space="0" w:color="auto"/>
                    <w:left w:val="none" w:sz="0" w:space="0" w:color="auto"/>
                    <w:bottom w:val="none" w:sz="0" w:space="0" w:color="auto"/>
                    <w:right w:val="none" w:sz="0" w:space="0" w:color="auto"/>
                  </w:divBdr>
                </w:div>
                <w:div w:id="1509981707">
                  <w:marLeft w:val="0"/>
                  <w:marRight w:val="0"/>
                  <w:marTop w:val="0"/>
                  <w:marBottom w:val="0"/>
                  <w:divBdr>
                    <w:top w:val="none" w:sz="0" w:space="0" w:color="auto"/>
                    <w:left w:val="none" w:sz="0" w:space="0" w:color="auto"/>
                    <w:bottom w:val="none" w:sz="0" w:space="0" w:color="auto"/>
                    <w:right w:val="none" w:sz="0" w:space="0" w:color="auto"/>
                  </w:divBdr>
                </w:div>
                <w:div w:id="158927234">
                  <w:marLeft w:val="0"/>
                  <w:marRight w:val="0"/>
                  <w:marTop w:val="0"/>
                  <w:marBottom w:val="0"/>
                  <w:divBdr>
                    <w:top w:val="none" w:sz="0" w:space="0" w:color="auto"/>
                    <w:left w:val="none" w:sz="0" w:space="0" w:color="auto"/>
                    <w:bottom w:val="none" w:sz="0" w:space="0" w:color="auto"/>
                    <w:right w:val="none" w:sz="0" w:space="0" w:color="auto"/>
                  </w:divBdr>
                </w:div>
                <w:div w:id="1327126999">
                  <w:marLeft w:val="0"/>
                  <w:marRight w:val="0"/>
                  <w:marTop w:val="0"/>
                  <w:marBottom w:val="0"/>
                  <w:divBdr>
                    <w:top w:val="none" w:sz="0" w:space="0" w:color="auto"/>
                    <w:left w:val="none" w:sz="0" w:space="0" w:color="auto"/>
                    <w:bottom w:val="none" w:sz="0" w:space="0" w:color="auto"/>
                    <w:right w:val="none" w:sz="0" w:space="0" w:color="auto"/>
                  </w:divBdr>
                </w:div>
                <w:div w:id="796096956">
                  <w:marLeft w:val="0"/>
                  <w:marRight w:val="0"/>
                  <w:marTop w:val="0"/>
                  <w:marBottom w:val="0"/>
                  <w:divBdr>
                    <w:top w:val="none" w:sz="0" w:space="0" w:color="auto"/>
                    <w:left w:val="none" w:sz="0" w:space="0" w:color="auto"/>
                    <w:bottom w:val="none" w:sz="0" w:space="0" w:color="auto"/>
                    <w:right w:val="none" w:sz="0" w:space="0" w:color="auto"/>
                  </w:divBdr>
                </w:div>
                <w:div w:id="1391424258">
                  <w:marLeft w:val="0"/>
                  <w:marRight w:val="0"/>
                  <w:marTop w:val="0"/>
                  <w:marBottom w:val="0"/>
                  <w:divBdr>
                    <w:top w:val="none" w:sz="0" w:space="0" w:color="auto"/>
                    <w:left w:val="none" w:sz="0" w:space="0" w:color="auto"/>
                    <w:bottom w:val="none" w:sz="0" w:space="0" w:color="auto"/>
                    <w:right w:val="none" w:sz="0" w:space="0" w:color="auto"/>
                  </w:divBdr>
                </w:div>
                <w:div w:id="805702973">
                  <w:marLeft w:val="0"/>
                  <w:marRight w:val="0"/>
                  <w:marTop w:val="0"/>
                  <w:marBottom w:val="0"/>
                  <w:divBdr>
                    <w:top w:val="none" w:sz="0" w:space="0" w:color="auto"/>
                    <w:left w:val="none" w:sz="0" w:space="0" w:color="auto"/>
                    <w:bottom w:val="none" w:sz="0" w:space="0" w:color="auto"/>
                    <w:right w:val="none" w:sz="0" w:space="0" w:color="auto"/>
                  </w:divBdr>
                </w:div>
                <w:div w:id="1621565410">
                  <w:marLeft w:val="0"/>
                  <w:marRight w:val="0"/>
                  <w:marTop w:val="0"/>
                  <w:marBottom w:val="0"/>
                  <w:divBdr>
                    <w:top w:val="none" w:sz="0" w:space="0" w:color="auto"/>
                    <w:left w:val="none" w:sz="0" w:space="0" w:color="auto"/>
                    <w:bottom w:val="none" w:sz="0" w:space="0" w:color="auto"/>
                    <w:right w:val="none" w:sz="0" w:space="0" w:color="auto"/>
                  </w:divBdr>
                </w:div>
                <w:div w:id="918099844">
                  <w:marLeft w:val="0"/>
                  <w:marRight w:val="0"/>
                  <w:marTop w:val="0"/>
                  <w:marBottom w:val="0"/>
                  <w:divBdr>
                    <w:top w:val="none" w:sz="0" w:space="0" w:color="auto"/>
                    <w:left w:val="none" w:sz="0" w:space="0" w:color="auto"/>
                    <w:bottom w:val="none" w:sz="0" w:space="0" w:color="auto"/>
                    <w:right w:val="none" w:sz="0" w:space="0" w:color="auto"/>
                  </w:divBdr>
                </w:div>
                <w:div w:id="1004865513">
                  <w:marLeft w:val="0"/>
                  <w:marRight w:val="0"/>
                  <w:marTop w:val="0"/>
                  <w:marBottom w:val="0"/>
                  <w:divBdr>
                    <w:top w:val="none" w:sz="0" w:space="0" w:color="auto"/>
                    <w:left w:val="none" w:sz="0" w:space="0" w:color="auto"/>
                    <w:bottom w:val="none" w:sz="0" w:space="0" w:color="auto"/>
                    <w:right w:val="none" w:sz="0" w:space="0" w:color="auto"/>
                  </w:divBdr>
                </w:div>
                <w:div w:id="1954945948">
                  <w:marLeft w:val="0"/>
                  <w:marRight w:val="0"/>
                  <w:marTop w:val="0"/>
                  <w:marBottom w:val="0"/>
                  <w:divBdr>
                    <w:top w:val="none" w:sz="0" w:space="0" w:color="auto"/>
                    <w:left w:val="none" w:sz="0" w:space="0" w:color="auto"/>
                    <w:bottom w:val="none" w:sz="0" w:space="0" w:color="auto"/>
                    <w:right w:val="none" w:sz="0" w:space="0" w:color="auto"/>
                  </w:divBdr>
                </w:div>
                <w:div w:id="1016924480">
                  <w:marLeft w:val="0"/>
                  <w:marRight w:val="0"/>
                  <w:marTop w:val="0"/>
                  <w:marBottom w:val="0"/>
                  <w:divBdr>
                    <w:top w:val="none" w:sz="0" w:space="0" w:color="auto"/>
                    <w:left w:val="none" w:sz="0" w:space="0" w:color="auto"/>
                    <w:bottom w:val="none" w:sz="0" w:space="0" w:color="auto"/>
                    <w:right w:val="none" w:sz="0" w:space="0" w:color="auto"/>
                  </w:divBdr>
                </w:div>
                <w:div w:id="1799297358">
                  <w:marLeft w:val="0"/>
                  <w:marRight w:val="0"/>
                  <w:marTop w:val="0"/>
                  <w:marBottom w:val="0"/>
                  <w:divBdr>
                    <w:top w:val="none" w:sz="0" w:space="0" w:color="auto"/>
                    <w:left w:val="none" w:sz="0" w:space="0" w:color="auto"/>
                    <w:bottom w:val="none" w:sz="0" w:space="0" w:color="auto"/>
                    <w:right w:val="none" w:sz="0" w:space="0" w:color="auto"/>
                  </w:divBdr>
                </w:div>
                <w:div w:id="1422946004">
                  <w:marLeft w:val="0"/>
                  <w:marRight w:val="0"/>
                  <w:marTop w:val="0"/>
                  <w:marBottom w:val="0"/>
                  <w:divBdr>
                    <w:top w:val="none" w:sz="0" w:space="0" w:color="auto"/>
                    <w:left w:val="none" w:sz="0" w:space="0" w:color="auto"/>
                    <w:bottom w:val="none" w:sz="0" w:space="0" w:color="auto"/>
                    <w:right w:val="none" w:sz="0" w:space="0" w:color="auto"/>
                  </w:divBdr>
                </w:div>
                <w:div w:id="1834948202">
                  <w:marLeft w:val="0"/>
                  <w:marRight w:val="0"/>
                  <w:marTop w:val="0"/>
                  <w:marBottom w:val="0"/>
                  <w:divBdr>
                    <w:top w:val="none" w:sz="0" w:space="0" w:color="auto"/>
                    <w:left w:val="none" w:sz="0" w:space="0" w:color="auto"/>
                    <w:bottom w:val="none" w:sz="0" w:space="0" w:color="auto"/>
                    <w:right w:val="none" w:sz="0" w:space="0" w:color="auto"/>
                  </w:divBdr>
                </w:div>
                <w:div w:id="1990597161">
                  <w:marLeft w:val="0"/>
                  <w:marRight w:val="0"/>
                  <w:marTop w:val="0"/>
                  <w:marBottom w:val="0"/>
                  <w:divBdr>
                    <w:top w:val="none" w:sz="0" w:space="0" w:color="auto"/>
                    <w:left w:val="none" w:sz="0" w:space="0" w:color="auto"/>
                    <w:bottom w:val="none" w:sz="0" w:space="0" w:color="auto"/>
                    <w:right w:val="none" w:sz="0" w:space="0" w:color="auto"/>
                  </w:divBdr>
                </w:div>
                <w:div w:id="531192231">
                  <w:marLeft w:val="0"/>
                  <w:marRight w:val="0"/>
                  <w:marTop w:val="0"/>
                  <w:marBottom w:val="0"/>
                  <w:divBdr>
                    <w:top w:val="none" w:sz="0" w:space="0" w:color="auto"/>
                    <w:left w:val="none" w:sz="0" w:space="0" w:color="auto"/>
                    <w:bottom w:val="none" w:sz="0" w:space="0" w:color="auto"/>
                    <w:right w:val="none" w:sz="0" w:space="0" w:color="auto"/>
                  </w:divBdr>
                </w:div>
                <w:div w:id="2112698332">
                  <w:marLeft w:val="0"/>
                  <w:marRight w:val="0"/>
                  <w:marTop w:val="0"/>
                  <w:marBottom w:val="0"/>
                  <w:divBdr>
                    <w:top w:val="none" w:sz="0" w:space="0" w:color="auto"/>
                    <w:left w:val="none" w:sz="0" w:space="0" w:color="auto"/>
                    <w:bottom w:val="none" w:sz="0" w:space="0" w:color="auto"/>
                    <w:right w:val="none" w:sz="0" w:space="0" w:color="auto"/>
                  </w:divBdr>
                </w:div>
                <w:div w:id="76749425">
                  <w:marLeft w:val="0"/>
                  <w:marRight w:val="0"/>
                  <w:marTop w:val="0"/>
                  <w:marBottom w:val="0"/>
                  <w:divBdr>
                    <w:top w:val="none" w:sz="0" w:space="0" w:color="auto"/>
                    <w:left w:val="none" w:sz="0" w:space="0" w:color="auto"/>
                    <w:bottom w:val="none" w:sz="0" w:space="0" w:color="auto"/>
                    <w:right w:val="none" w:sz="0" w:space="0" w:color="auto"/>
                  </w:divBdr>
                </w:div>
                <w:div w:id="1874920070">
                  <w:marLeft w:val="0"/>
                  <w:marRight w:val="0"/>
                  <w:marTop w:val="0"/>
                  <w:marBottom w:val="0"/>
                  <w:divBdr>
                    <w:top w:val="none" w:sz="0" w:space="0" w:color="auto"/>
                    <w:left w:val="none" w:sz="0" w:space="0" w:color="auto"/>
                    <w:bottom w:val="none" w:sz="0" w:space="0" w:color="auto"/>
                    <w:right w:val="none" w:sz="0" w:space="0" w:color="auto"/>
                  </w:divBdr>
                </w:div>
                <w:div w:id="1721174279">
                  <w:marLeft w:val="0"/>
                  <w:marRight w:val="0"/>
                  <w:marTop w:val="0"/>
                  <w:marBottom w:val="0"/>
                  <w:divBdr>
                    <w:top w:val="none" w:sz="0" w:space="0" w:color="auto"/>
                    <w:left w:val="none" w:sz="0" w:space="0" w:color="auto"/>
                    <w:bottom w:val="none" w:sz="0" w:space="0" w:color="auto"/>
                    <w:right w:val="none" w:sz="0" w:space="0" w:color="auto"/>
                  </w:divBdr>
                </w:div>
                <w:div w:id="1482885815">
                  <w:marLeft w:val="0"/>
                  <w:marRight w:val="0"/>
                  <w:marTop w:val="0"/>
                  <w:marBottom w:val="0"/>
                  <w:divBdr>
                    <w:top w:val="none" w:sz="0" w:space="0" w:color="auto"/>
                    <w:left w:val="none" w:sz="0" w:space="0" w:color="auto"/>
                    <w:bottom w:val="none" w:sz="0" w:space="0" w:color="auto"/>
                    <w:right w:val="none" w:sz="0" w:space="0" w:color="auto"/>
                  </w:divBdr>
                </w:div>
                <w:div w:id="726030582">
                  <w:marLeft w:val="0"/>
                  <w:marRight w:val="0"/>
                  <w:marTop w:val="0"/>
                  <w:marBottom w:val="0"/>
                  <w:divBdr>
                    <w:top w:val="none" w:sz="0" w:space="0" w:color="auto"/>
                    <w:left w:val="none" w:sz="0" w:space="0" w:color="auto"/>
                    <w:bottom w:val="none" w:sz="0" w:space="0" w:color="auto"/>
                    <w:right w:val="none" w:sz="0" w:space="0" w:color="auto"/>
                  </w:divBdr>
                </w:div>
                <w:div w:id="20208135">
                  <w:marLeft w:val="0"/>
                  <w:marRight w:val="0"/>
                  <w:marTop w:val="0"/>
                  <w:marBottom w:val="0"/>
                  <w:divBdr>
                    <w:top w:val="none" w:sz="0" w:space="0" w:color="auto"/>
                    <w:left w:val="none" w:sz="0" w:space="0" w:color="auto"/>
                    <w:bottom w:val="none" w:sz="0" w:space="0" w:color="auto"/>
                    <w:right w:val="none" w:sz="0" w:space="0" w:color="auto"/>
                  </w:divBdr>
                </w:div>
                <w:div w:id="1404837394">
                  <w:marLeft w:val="0"/>
                  <w:marRight w:val="0"/>
                  <w:marTop w:val="0"/>
                  <w:marBottom w:val="0"/>
                  <w:divBdr>
                    <w:top w:val="none" w:sz="0" w:space="0" w:color="auto"/>
                    <w:left w:val="none" w:sz="0" w:space="0" w:color="auto"/>
                    <w:bottom w:val="none" w:sz="0" w:space="0" w:color="auto"/>
                    <w:right w:val="none" w:sz="0" w:space="0" w:color="auto"/>
                  </w:divBdr>
                </w:div>
                <w:div w:id="948270527">
                  <w:marLeft w:val="0"/>
                  <w:marRight w:val="0"/>
                  <w:marTop w:val="0"/>
                  <w:marBottom w:val="0"/>
                  <w:divBdr>
                    <w:top w:val="none" w:sz="0" w:space="0" w:color="auto"/>
                    <w:left w:val="none" w:sz="0" w:space="0" w:color="auto"/>
                    <w:bottom w:val="none" w:sz="0" w:space="0" w:color="auto"/>
                    <w:right w:val="none" w:sz="0" w:space="0" w:color="auto"/>
                  </w:divBdr>
                </w:div>
                <w:div w:id="1151558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74688">
          <w:marLeft w:val="0"/>
          <w:marRight w:val="0"/>
          <w:marTop w:val="15"/>
          <w:marBottom w:val="0"/>
          <w:divBdr>
            <w:top w:val="none" w:sz="0" w:space="0" w:color="auto"/>
            <w:left w:val="none" w:sz="0" w:space="0" w:color="auto"/>
            <w:bottom w:val="none" w:sz="0" w:space="0" w:color="auto"/>
            <w:right w:val="none" w:sz="0" w:space="0" w:color="auto"/>
          </w:divBdr>
          <w:divsChild>
            <w:div w:id="636030500">
              <w:marLeft w:val="0"/>
              <w:marRight w:val="0"/>
              <w:marTop w:val="0"/>
              <w:marBottom w:val="0"/>
              <w:divBdr>
                <w:top w:val="none" w:sz="0" w:space="0" w:color="auto"/>
                <w:left w:val="none" w:sz="0" w:space="0" w:color="auto"/>
                <w:bottom w:val="none" w:sz="0" w:space="0" w:color="auto"/>
                <w:right w:val="none" w:sz="0" w:space="0" w:color="auto"/>
              </w:divBdr>
              <w:divsChild>
                <w:div w:id="1580868942">
                  <w:marLeft w:val="0"/>
                  <w:marRight w:val="0"/>
                  <w:marTop w:val="0"/>
                  <w:marBottom w:val="0"/>
                  <w:divBdr>
                    <w:top w:val="none" w:sz="0" w:space="0" w:color="auto"/>
                    <w:left w:val="none" w:sz="0" w:space="0" w:color="auto"/>
                    <w:bottom w:val="none" w:sz="0" w:space="0" w:color="auto"/>
                    <w:right w:val="none" w:sz="0" w:space="0" w:color="auto"/>
                  </w:divBdr>
                </w:div>
                <w:div w:id="1170411280">
                  <w:marLeft w:val="0"/>
                  <w:marRight w:val="0"/>
                  <w:marTop w:val="0"/>
                  <w:marBottom w:val="0"/>
                  <w:divBdr>
                    <w:top w:val="none" w:sz="0" w:space="0" w:color="auto"/>
                    <w:left w:val="none" w:sz="0" w:space="0" w:color="auto"/>
                    <w:bottom w:val="none" w:sz="0" w:space="0" w:color="auto"/>
                    <w:right w:val="none" w:sz="0" w:space="0" w:color="auto"/>
                  </w:divBdr>
                </w:div>
                <w:div w:id="1993244321">
                  <w:marLeft w:val="0"/>
                  <w:marRight w:val="0"/>
                  <w:marTop w:val="0"/>
                  <w:marBottom w:val="0"/>
                  <w:divBdr>
                    <w:top w:val="none" w:sz="0" w:space="0" w:color="auto"/>
                    <w:left w:val="none" w:sz="0" w:space="0" w:color="auto"/>
                    <w:bottom w:val="none" w:sz="0" w:space="0" w:color="auto"/>
                    <w:right w:val="none" w:sz="0" w:space="0" w:color="auto"/>
                  </w:divBdr>
                </w:div>
                <w:div w:id="473260839">
                  <w:marLeft w:val="0"/>
                  <w:marRight w:val="0"/>
                  <w:marTop w:val="0"/>
                  <w:marBottom w:val="0"/>
                  <w:divBdr>
                    <w:top w:val="none" w:sz="0" w:space="0" w:color="auto"/>
                    <w:left w:val="none" w:sz="0" w:space="0" w:color="auto"/>
                    <w:bottom w:val="none" w:sz="0" w:space="0" w:color="auto"/>
                    <w:right w:val="none" w:sz="0" w:space="0" w:color="auto"/>
                  </w:divBdr>
                </w:div>
                <w:div w:id="1984962895">
                  <w:marLeft w:val="0"/>
                  <w:marRight w:val="0"/>
                  <w:marTop w:val="0"/>
                  <w:marBottom w:val="0"/>
                  <w:divBdr>
                    <w:top w:val="none" w:sz="0" w:space="0" w:color="auto"/>
                    <w:left w:val="none" w:sz="0" w:space="0" w:color="auto"/>
                    <w:bottom w:val="none" w:sz="0" w:space="0" w:color="auto"/>
                    <w:right w:val="none" w:sz="0" w:space="0" w:color="auto"/>
                  </w:divBdr>
                </w:div>
                <w:div w:id="1930698536">
                  <w:marLeft w:val="0"/>
                  <w:marRight w:val="0"/>
                  <w:marTop w:val="0"/>
                  <w:marBottom w:val="0"/>
                  <w:divBdr>
                    <w:top w:val="none" w:sz="0" w:space="0" w:color="auto"/>
                    <w:left w:val="none" w:sz="0" w:space="0" w:color="auto"/>
                    <w:bottom w:val="none" w:sz="0" w:space="0" w:color="auto"/>
                    <w:right w:val="none" w:sz="0" w:space="0" w:color="auto"/>
                  </w:divBdr>
                </w:div>
                <w:div w:id="1667633843">
                  <w:marLeft w:val="0"/>
                  <w:marRight w:val="0"/>
                  <w:marTop w:val="0"/>
                  <w:marBottom w:val="0"/>
                  <w:divBdr>
                    <w:top w:val="none" w:sz="0" w:space="0" w:color="auto"/>
                    <w:left w:val="none" w:sz="0" w:space="0" w:color="auto"/>
                    <w:bottom w:val="none" w:sz="0" w:space="0" w:color="auto"/>
                    <w:right w:val="none" w:sz="0" w:space="0" w:color="auto"/>
                  </w:divBdr>
                </w:div>
                <w:div w:id="1853496983">
                  <w:marLeft w:val="0"/>
                  <w:marRight w:val="0"/>
                  <w:marTop w:val="0"/>
                  <w:marBottom w:val="0"/>
                  <w:divBdr>
                    <w:top w:val="none" w:sz="0" w:space="0" w:color="auto"/>
                    <w:left w:val="none" w:sz="0" w:space="0" w:color="auto"/>
                    <w:bottom w:val="none" w:sz="0" w:space="0" w:color="auto"/>
                    <w:right w:val="none" w:sz="0" w:space="0" w:color="auto"/>
                  </w:divBdr>
                </w:div>
                <w:div w:id="83109269">
                  <w:marLeft w:val="0"/>
                  <w:marRight w:val="0"/>
                  <w:marTop w:val="0"/>
                  <w:marBottom w:val="0"/>
                  <w:divBdr>
                    <w:top w:val="none" w:sz="0" w:space="0" w:color="auto"/>
                    <w:left w:val="none" w:sz="0" w:space="0" w:color="auto"/>
                    <w:bottom w:val="none" w:sz="0" w:space="0" w:color="auto"/>
                    <w:right w:val="none" w:sz="0" w:space="0" w:color="auto"/>
                  </w:divBdr>
                </w:div>
                <w:div w:id="1243643774">
                  <w:marLeft w:val="0"/>
                  <w:marRight w:val="0"/>
                  <w:marTop w:val="0"/>
                  <w:marBottom w:val="0"/>
                  <w:divBdr>
                    <w:top w:val="none" w:sz="0" w:space="0" w:color="auto"/>
                    <w:left w:val="none" w:sz="0" w:space="0" w:color="auto"/>
                    <w:bottom w:val="none" w:sz="0" w:space="0" w:color="auto"/>
                    <w:right w:val="none" w:sz="0" w:space="0" w:color="auto"/>
                  </w:divBdr>
                </w:div>
                <w:div w:id="1091312502">
                  <w:marLeft w:val="0"/>
                  <w:marRight w:val="0"/>
                  <w:marTop w:val="0"/>
                  <w:marBottom w:val="0"/>
                  <w:divBdr>
                    <w:top w:val="none" w:sz="0" w:space="0" w:color="auto"/>
                    <w:left w:val="none" w:sz="0" w:space="0" w:color="auto"/>
                    <w:bottom w:val="none" w:sz="0" w:space="0" w:color="auto"/>
                    <w:right w:val="none" w:sz="0" w:space="0" w:color="auto"/>
                  </w:divBdr>
                </w:div>
                <w:div w:id="87236605">
                  <w:marLeft w:val="0"/>
                  <w:marRight w:val="0"/>
                  <w:marTop w:val="0"/>
                  <w:marBottom w:val="0"/>
                  <w:divBdr>
                    <w:top w:val="none" w:sz="0" w:space="0" w:color="auto"/>
                    <w:left w:val="none" w:sz="0" w:space="0" w:color="auto"/>
                    <w:bottom w:val="none" w:sz="0" w:space="0" w:color="auto"/>
                    <w:right w:val="none" w:sz="0" w:space="0" w:color="auto"/>
                  </w:divBdr>
                </w:div>
                <w:div w:id="801188230">
                  <w:marLeft w:val="0"/>
                  <w:marRight w:val="0"/>
                  <w:marTop w:val="0"/>
                  <w:marBottom w:val="0"/>
                  <w:divBdr>
                    <w:top w:val="none" w:sz="0" w:space="0" w:color="auto"/>
                    <w:left w:val="none" w:sz="0" w:space="0" w:color="auto"/>
                    <w:bottom w:val="none" w:sz="0" w:space="0" w:color="auto"/>
                    <w:right w:val="none" w:sz="0" w:space="0" w:color="auto"/>
                  </w:divBdr>
                </w:div>
                <w:div w:id="534274777">
                  <w:marLeft w:val="0"/>
                  <w:marRight w:val="0"/>
                  <w:marTop w:val="0"/>
                  <w:marBottom w:val="0"/>
                  <w:divBdr>
                    <w:top w:val="none" w:sz="0" w:space="0" w:color="auto"/>
                    <w:left w:val="none" w:sz="0" w:space="0" w:color="auto"/>
                    <w:bottom w:val="none" w:sz="0" w:space="0" w:color="auto"/>
                    <w:right w:val="none" w:sz="0" w:space="0" w:color="auto"/>
                  </w:divBdr>
                </w:div>
                <w:div w:id="1329332976">
                  <w:marLeft w:val="0"/>
                  <w:marRight w:val="0"/>
                  <w:marTop w:val="0"/>
                  <w:marBottom w:val="0"/>
                  <w:divBdr>
                    <w:top w:val="none" w:sz="0" w:space="0" w:color="auto"/>
                    <w:left w:val="none" w:sz="0" w:space="0" w:color="auto"/>
                    <w:bottom w:val="none" w:sz="0" w:space="0" w:color="auto"/>
                    <w:right w:val="none" w:sz="0" w:space="0" w:color="auto"/>
                  </w:divBdr>
                </w:div>
                <w:div w:id="1098141532">
                  <w:marLeft w:val="0"/>
                  <w:marRight w:val="0"/>
                  <w:marTop w:val="0"/>
                  <w:marBottom w:val="0"/>
                  <w:divBdr>
                    <w:top w:val="none" w:sz="0" w:space="0" w:color="auto"/>
                    <w:left w:val="none" w:sz="0" w:space="0" w:color="auto"/>
                    <w:bottom w:val="none" w:sz="0" w:space="0" w:color="auto"/>
                    <w:right w:val="none" w:sz="0" w:space="0" w:color="auto"/>
                  </w:divBdr>
                </w:div>
                <w:div w:id="599022087">
                  <w:marLeft w:val="0"/>
                  <w:marRight w:val="0"/>
                  <w:marTop w:val="0"/>
                  <w:marBottom w:val="0"/>
                  <w:divBdr>
                    <w:top w:val="none" w:sz="0" w:space="0" w:color="auto"/>
                    <w:left w:val="none" w:sz="0" w:space="0" w:color="auto"/>
                    <w:bottom w:val="none" w:sz="0" w:space="0" w:color="auto"/>
                    <w:right w:val="none" w:sz="0" w:space="0" w:color="auto"/>
                  </w:divBdr>
                </w:div>
                <w:div w:id="1416367056">
                  <w:marLeft w:val="0"/>
                  <w:marRight w:val="0"/>
                  <w:marTop w:val="0"/>
                  <w:marBottom w:val="0"/>
                  <w:divBdr>
                    <w:top w:val="none" w:sz="0" w:space="0" w:color="auto"/>
                    <w:left w:val="none" w:sz="0" w:space="0" w:color="auto"/>
                    <w:bottom w:val="none" w:sz="0" w:space="0" w:color="auto"/>
                    <w:right w:val="none" w:sz="0" w:space="0" w:color="auto"/>
                  </w:divBdr>
                </w:div>
                <w:div w:id="1047221860">
                  <w:marLeft w:val="0"/>
                  <w:marRight w:val="0"/>
                  <w:marTop w:val="0"/>
                  <w:marBottom w:val="0"/>
                  <w:divBdr>
                    <w:top w:val="none" w:sz="0" w:space="0" w:color="auto"/>
                    <w:left w:val="none" w:sz="0" w:space="0" w:color="auto"/>
                    <w:bottom w:val="none" w:sz="0" w:space="0" w:color="auto"/>
                    <w:right w:val="none" w:sz="0" w:space="0" w:color="auto"/>
                  </w:divBdr>
                </w:div>
                <w:div w:id="1686903994">
                  <w:marLeft w:val="0"/>
                  <w:marRight w:val="0"/>
                  <w:marTop w:val="0"/>
                  <w:marBottom w:val="0"/>
                  <w:divBdr>
                    <w:top w:val="none" w:sz="0" w:space="0" w:color="auto"/>
                    <w:left w:val="none" w:sz="0" w:space="0" w:color="auto"/>
                    <w:bottom w:val="none" w:sz="0" w:space="0" w:color="auto"/>
                    <w:right w:val="none" w:sz="0" w:space="0" w:color="auto"/>
                  </w:divBdr>
                </w:div>
                <w:div w:id="349841787">
                  <w:marLeft w:val="0"/>
                  <w:marRight w:val="0"/>
                  <w:marTop w:val="0"/>
                  <w:marBottom w:val="0"/>
                  <w:divBdr>
                    <w:top w:val="none" w:sz="0" w:space="0" w:color="auto"/>
                    <w:left w:val="none" w:sz="0" w:space="0" w:color="auto"/>
                    <w:bottom w:val="none" w:sz="0" w:space="0" w:color="auto"/>
                    <w:right w:val="none" w:sz="0" w:space="0" w:color="auto"/>
                  </w:divBdr>
                </w:div>
                <w:div w:id="1703481583">
                  <w:marLeft w:val="0"/>
                  <w:marRight w:val="0"/>
                  <w:marTop w:val="0"/>
                  <w:marBottom w:val="0"/>
                  <w:divBdr>
                    <w:top w:val="none" w:sz="0" w:space="0" w:color="auto"/>
                    <w:left w:val="none" w:sz="0" w:space="0" w:color="auto"/>
                    <w:bottom w:val="none" w:sz="0" w:space="0" w:color="auto"/>
                    <w:right w:val="none" w:sz="0" w:space="0" w:color="auto"/>
                  </w:divBdr>
                </w:div>
                <w:div w:id="574825365">
                  <w:marLeft w:val="0"/>
                  <w:marRight w:val="0"/>
                  <w:marTop w:val="0"/>
                  <w:marBottom w:val="0"/>
                  <w:divBdr>
                    <w:top w:val="none" w:sz="0" w:space="0" w:color="auto"/>
                    <w:left w:val="none" w:sz="0" w:space="0" w:color="auto"/>
                    <w:bottom w:val="none" w:sz="0" w:space="0" w:color="auto"/>
                    <w:right w:val="none" w:sz="0" w:space="0" w:color="auto"/>
                  </w:divBdr>
                </w:div>
                <w:div w:id="534926855">
                  <w:marLeft w:val="0"/>
                  <w:marRight w:val="0"/>
                  <w:marTop w:val="0"/>
                  <w:marBottom w:val="0"/>
                  <w:divBdr>
                    <w:top w:val="none" w:sz="0" w:space="0" w:color="auto"/>
                    <w:left w:val="none" w:sz="0" w:space="0" w:color="auto"/>
                    <w:bottom w:val="none" w:sz="0" w:space="0" w:color="auto"/>
                    <w:right w:val="none" w:sz="0" w:space="0" w:color="auto"/>
                  </w:divBdr>
                </w:div>
                <w:div w:id="1706445646">
                  <w:marLeft w:val="0"/>
                  <w:marRight w:val="0"/>
                  <w:marTop w:val="0"/>
                  <w:marBottom w:val="0"/>
                  <w:divBdr>
                    <w:top w:val="none" w:sz="0" w:space="0" w:color="auto"/>
                    <w:left w:val="none" w:sz="0" w:space="0" w:color="auto"/>
                    <w:bottom w:val="none" w:sz="0" w:space="0" w:color="auto"/>
                    <w:right w:val="none" w:sz="0" w:space="0" w:color="auto"/>
                  </w:divBdr>
                </w:div>
                <w:div w:id="343094227">
                  <w:marLeft w:val="0"/>
                  <w:marRight w:val="0"/>
                  <w:marTop w:val="0"/>
                  <w:marBottom w:val="0"/>
                  <w:divBdr>
                    <w:top w:val="none" w:sz="0" w:space="0" w:color="auto"/>
                    <w:left w:val="none" w:sz="0" w:space="0" w:color="auto"/>
                    <w:bottom w:val="none" w:sz="0" w:space="0" w:color="auto"/>
                    <w:right w:val="none" w:sz="0" w:space="0" w:color="auto"/>
                  </w:divBdr>
                </w:div>
                <w:div w:id="1133330920">
                  <w:marLeft w:val="0"/>
                  <w:marRight w:val="0"/>
                  <w:marTop w:val="0"/>
                  <w:marBottom w:val="0"/>
                  <w:divBdr>
                    <w:top w:val="none" w:sz="0" w:space="0" w:color="auto"/>
                    <w:left w:val="none" w:sz="0" w:space="0" w:color="auto"/>
                    <w:bottom w:val="none" w:sz="0" w:space="0" w:color="auto"/>
                    <w:right w:val="none" w:sz="0" w:space="0" w:color="auto"/>
                  </w:divBdr>
                </w:div>
                <w:div w:id="1934164248">
                  <w:marLeft w:val="0"/>
                  <w:marRight w:val="0"/>
                  <w:marTop w:val="0"/>
                  <w:marBottom w:val="0"/>
                  <w:divBdr>
                    <w:top w:val="none" w:sz="0" w:space="0" w:color="auto"/>
                    <w:left w:val="none" w:sz="0" w:space="0" w:color="auto"/>
                    <w:bottom w:val="none" w:sz="0" w:space="0" w:color="auto"/>
                    <w:right w:val="none" w:sz="0" w:space="0" w:color="auto"/>
                  </w:divBdr>
                </w:div>
                <w:div w:id="189781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1636">
          <w:marLeft w:val="0"/>
          <w:marRight w:val="0"/>
          <w:marTop w:val="15"/>
          <w:marBottom w:val="0"/>
          <w:divBdr>
            <w:top w:val="none" w:sz="0" w:space="0" w:color="auto"/>
            <w:left w:val="none" w:sz="0" w:space="0" w:color="auto"/>
            <w:bottom w:val="none" w:sz="0" w:space="0" w:color="auto"/>
            <w:right w:val="none" w:sz="0" w:space="0" w:color="auto"/>
          </w:divBdr>
          <w:divsChild>
            <w:div w:id="2058501962">
              <w:marLeft w:val="0"/>
              <w:marRight w:val="0"/>
              <w:marTop w:val="0"/>
              <w:marBottom w:val="0"/>
              <w:divBdr>
                <w:top w:val="none" w:sz="0" w:space="0" w:color="auto"/>
                <w:left w:val="none" w:sz="0" w:space="0" w:color="auto"/>
                <w:bottom w:val="none" w:sz="0" w:space="0" w:color="auto"/>
                <w:right w:val="none" w:sz="0" w:space="0" w:color="auto"/>
              </w:divBdr>
              <w:divsChild>
                <w:div w:id="1609042464">
                  <w:marLeft w:val="0"/>
                  <w:marRight w:val="0"/>
                  <w:marTop w:val="0"/>
                  <w:marBottom w:val="0"/>
                  <w:divBdr>
                    <w:top w:val="none" w:sz="0" w:space="0" w:color="auto"/>
                    <w:left w:val="none" w:sz="0" w:space="0" w:color="auto"/>
                    <w:bottom w:val="none" w:sz="0" w:space="0" w:color="auto"/>
                    <w:right w:val="none" w:sz="0" w:space="0" w:color="auto"/>
                  </w:divBdr>
                </w:div>
                <w:div w:id="1921061955">
                  <w:marLeft w:val="0"/>
                  <w:marRight w:val="0"/>
                  <w:marTop w:val="0"/>
                  <w:marBottom w:val="0"/>
                  <w:divBdr>
                    <w:top w:val="none" w:sz="0" w:space="0" w:color="auto"/>
                    <w:left w:val="none" w:sz="0" w:space="0" w:color="auto"/>
                    <w:bottom w:val="none" w:sz="0" w:space="0" w:color="auto"/>
                    <w:right w:val="none" w:sz="0" w:space="0" w:color="auto"/>
                  </w:divBdr>
                </w:div>
                <w:div w:id="1438132483">
                  <w:marLeft w:val="0"/>
                  <w:marRight w:val="0"/>
                  <w:marTop w:val="0"/>
                  <w:marBottom w:val="0"/>
                  <w:divBdr>
                    <w:top w:val="none" w:sz="0" w:space="0" w:color="auto"/>
                    <w:left w:val="none" w:sz="0" w:space="0" w:color="auto"/>
                    <w:bottom w:val="none" w:sz="0" w:space="0" w:color="auto"/>
                    <w:right w:val="none" w:sz="0" w:space="0" w:color="auto"/>
                  </w:divBdr>
                </w:div>
                <w:div w:id="1963999495">
                  <w:marLeft w:val="0"/>
                  <w:marRight w:val="0"/>
                  <w:marTop w:val="0"/>
                  <w:marBottom w:val="0"/>
                  <w:divBdr>
                    <w:top w:val="none" w:sz="0" w:space="0" w:color="auto"/>
                    <w:left w:val="none" w:sz="0" w:space="0" w:color="auto"/>
                    <w:bottom w:val="none" w:sz="0" w:space="0" w:color="auto"/>
                    <w:right w:val="none" w:sz="0" w:space="0" w:color="auto"/>
                  </w:divBdr>
                </w:div>
                <w:div w:id="1042251097">
                  <w:marLeft w:val="0"/>
                  <w:marRight w:val="0"/>
                  <w:marTop w:val="0"/>
                  <w:marBottom w:val="0"/>
                  <w:divBdr>
                    <w:top w:val="none" w:sz="0" w:space="0" w:color="auto"/>
                    <w:left w:val="none" w:sz="0" w:space="0" w:color="auto"/>
                    <w:bottom w:val="none" w:sz="0" w:space="0" w:color="auto"/>
                    <w:right w:val="none" w:sz="0" w:space="0" w:color="auto"/>
                  </w:divBdr>
                </w:div>
                <w:div w:id="1587767230">
                  <w:marLeft w:val="0"/>
                  <w:marRight w:val="0"/>
                  <w:marTop w:val="0"/>
                  <w:marBottom w:val="0"/>
                  <w:divBdr>
                    <w:top w:val="none" w:sz="0" w:space="0" w:color="auto"/>
                    <w:left w:val="none" w:sz="0" w:space="0" w:color="auto"/>
                    <w:bottom w:val="none" w:sz="0" w:space="0" w:color="auto"/>
                    <w:right w:val="none" w:sz="0" w:space="0" w:color="auto"/>
                  </w:divBdr>
                </w:div>
                <w:div w:id="92821528">
                  <w:marLeft w:val="0"/>
                  <w:marRight w:val="0"/>
                  <w:marTop w:val="0"/>
                  <w:marBottom w:val="0"/>
                  <w:divBdr>
                    <w:top w:val="none" w:sz="0" w:space="0" w:color="auto"/>
                    <w:left w:val="none" w:sz="0" w:space="0" w:color="auto"/>
                    <w:bottom w:val="none" w:sz="0" w:space="0" w:color="auto"/>
                    <w:right w:val="none" w:sz="0" w:space="0" w:color="auto"/>
                  </w:divBdr>
                </w:div>
                <w:div w:id="695081974">
                  <w:marLeft w:val="0"/>
                  <w:marRight w:val="0"/>
                  <w:marTop w:val="0"/>
                  <w:marBottom w:val="0"/>
                  <w:divBdr>
                    <w:top w:val="none" w:sz="0" w:space="0" w:color="auto"/>
                    <w:left w:val="none" w:sz="0" w:space="0" w:color="auto"/>
                    <w:bottom w:val="none" w:sz="0" w:space="0" w:color="auto"/>
                    <w:right w:val="none" w:sz="0" w:space="0" w:color="auto"/>
                  </w:divBdr>
                </w:div>
                <w:div w:id="986860603">
                  <w:marLeft w:val="0"/>
                  <w:marRight w:val="0"/>
                  <w:marTop w:val="0"/>
                  <w:marBottom w:val="0"/>
                  <w:divBdr>
                    <w:top w:val="none" w:sz="0" w:space="0" w:color="auto"/>
                    <w:left w:val="none" w:sz="0" w:space="0" w:color="auto"/>
                    <w:bottom w:val="none" w:sz="0" w:space="0" w:color="auto"/>
                    <w:right w:val="none" w:sz="0" w:space="0" w:color="auto"/>
                  </w:divBdr>
                </w:div>
                <w:div w:id="611715246">
                  <w:marLeft w:val="0"/>
                  <w:marRight w:val="0"/>
                  <w:marTop w:val="0"/>
                  <w:marBottom w:val="0"/>
                  <w:divBdr>
                    <w:top w:val="none" w:sz="0" w:space="0" w:color="auto"/>
                    <w:left w:val="none" w:sz="0" w:space="0" w:color="auto"/>
                    <w:bottom w:val="none" w:sz="0" w:space="0" w:color="auto"/>
                    <w:right w:val="none" w:sz="0" w:space="0" w:color="auto"/>
                  </w:divBdr>
                </w:div>
                <w:div w:id="2111852173">
                  <w:marLeft w:val="0"/>
                  <w:marRight w:val="0"/>
                  <w:marTop w:val="0"/>
                  <w:marBottom w:val="0"/>
                  <w:divBdr>
                    <w:top w:val="none" w:sz="0" w:space="0" w:color="auto"/>
                    <w:left w:val="none" w:sz="0" w:space="0" w:color="auto"/>
                    <w:bottom w:val="none" w:sz="0" w:space="0" w:color="auto"/>
                    <w:right w:val="none" w:sz="0" w:space="0" w:color="auto"/>
                  </w:divBdr>
                </w:div>
                <w:div w:id="503789797">
                  <w:marLeft w:val="0"/>
                  <w:marRight w:val="0"/>
                  <w:marTop w:val="0"/>
                  <w:marBottom w:val="0"/>
                  <w:divBdr>
                    <w:top w:val="none" w:sz="0" w:space="0" w:color="auto"/>
                    <w:left w:val="none" w:sz="0" w:space="0" w:color="auto"/>
                    <w:bottom w:val="none" w:sz="0" w:space="0" w:color="auto"/>
                    <w:right w:val="none" w:sz="0" w:space="0" w:color="auto"/>
                  </w:divBdr>
                </w:div>
                <w:div w:id="916324614">
                  <w:marLeft w:val="0"/>
                  <w:marRight w:val="0"/>
                  <w:marTop w:val="0"/>
                  <w:marBottom w:val="0"/>
                  <w:divBdr>
                    <w:top w:val="none" w:sz="0" w:space="0" w:color="auto"/>
                    <w:left w:val="none" w:sz="0" w:space="0" w:color="auto"/>
                    <w:bottom w:val="none" w:sz="0" w:space="0" w:color="auto"/>
                    <w:right w:val="none" w:sz="0" w:space="0" w:color="auto"/>
                  </w:divBdr>
                </w:div>
                <w:div w:id="1541556055">
                  <w:marLeft w:val="0"/>
                  <w:marRight w:val="0"/>
                  <w:marTop w:val="0"/>
                  <w:marBottom w:val="0"/>
                  <w:divBdr>
                    <w:top w:val="none" w:sz="0" w:space="0" w:color="auto"/>
                    <w:left w:val="none" w:sz="0" w:space="0" w:color="auto"/>
                    <w:bottom w:val="none" w:sz="0" w:space="0" w:color="auto"/>
                    <w:right w:val="none" w:sz="0" w:space="0" w:color="auto"/>
                  </w:divBdr>
                </w:div>
                <w:div w:id="1933199784">
                  <w:marLeft w:val="0"/>
                  <w:marRight w:val="0"/>
                  <w:marTop w:val="0"/>
                  <w:marBottom w:val="0"/>
                  <w:divBdr>
                    <w:top w:val="none" w:sz="0" w:space="0" w:color="auto"/>
                    <w:left w:val="none" w:sz="0" w:space="0" w:color="auto"/>
                    <w:bottom w:val="none" w:sz="0" w:space="0" w:color="auto"/>
                    <w:right w:val="none" w:sz="0" w:space="0" w:color="auto"/>
                  </w:divBdr>
                </w:div>
                <w:div w:id="1437677142">
                  <w:marLeft w:val="0"/>
                  <w:marRight w:val="0"/>
                  <w:marTop w:val="0"/>
                  <w:marBottom w:val="0"/>
                  <w:divBdr>
                    <w:top w:val="none" w:sz="0" w:space="0" w:color="auto"/>
                    <w:left w:val="none" w:sz="0" w:space="0" w:color="auto"/>
                    <w:bottom w:val="none" w:sz="0" w:space="0" w:color="auto"/>
                    <w:right w:val="none" w:sz="0" w:space="0" w:color="auto"/>
                  </w:divBdr>
                </w:div>
                <w:div w:id="108092312">
                  <w:marLeft w:val="0"/>
                  <w:marRight w:val="0"/>
                  <w:marTop w:val="0"/>
                  <w:marBottom w:val="0"/>
                  <w:divBdr>
                    <w:top w:val="none" w:sz="0" w:space="0" w:color="auto"/>
                    <w:left w:val="none" w:sz="0" w:space="0" w:color="auto"/>
                    <w:bottom w:val="none" w:sz="0" w:space="0" w:color="auto"/>
                    <w:right w:val="none" w:sz="0" w:space="0" w:color="auto"/>
                  </w:divBdr>
                </w:div>
                <w:div w:id="2050761248">
                  <w:marLeft w:val="0"/>
                  <w:marRight w:val="0"/>
                  <w:marTop w:val="0"/>
                  <w:marBottom w:val="0"/>
                  <w:divBdr>
                    <w:top w:val="none" w:sz="0" w:space="0" w:color="auto"/>
                    <w:left w:val="none" w:sz="0" w:space="0" w:color="auto"/>
                    <w:bottom w:val="none" w:sz="0" w:space="0" w:color="auto"/>
                    <w:right w:val="none" w:sz="0" w:space="0" w:color="auto"/>
                  </w:divBdr>
                </w:div>
                <w:div w:id="902716946">
                  <w:marLeft w:val="0"/>
                  <w:marRight w:val="0"/>
                  <w:marTop w:val="0"/>
                  <w:marBottom w:val="0"/>
                  <w:divBdr>
                    <w:top w:val="none" w:sz="0" w:space="0" w:color="auto"/>
                    <w:left w:val="none" w:sz="0" w:space="0" w:color="auto"/>
                    <w:bottom w:val="none" w:sz="0" w:space="0" w:color="auto"/>
                    <w:right w:val="none" w:sz="0" w:space="0" w:color="auto"/>
                  </w:divBdr>
                </w:div>
                <w:div w:id="1923029918">
                  <w:marLeft w:val="0"/>
                  <w:marRight w:val="0"/>
                  <w:marTop w:val="0"/>
                  <w:marBottom w:val="0"/>
                  <w:divBdr>
                    <w:top w:val="none" w:sz="0" w:space="0" w:color="auto"/>
                    <w:left w:val="none" w:sz="0" w:space="0" w:color="auto"/>
                    <w:bottom w:val="none" w:sz="0" w:space="0" w:color="auto"/>
                    <w:right w:val="none" w:sz="0" w:space="0" w:color="auto"/>
                  </w:divBdr>
                </w:div>
                <w:div w:id="331686339">
                  <w:marLeft w:val="0"/>
                  <w:marRight w:val="0"/>
                  <w:marTop w:val="0"/>
                  <w:marBottom w:val="0"/>
                  <w:divBdr>
                    <w:top w:val="none" w:sz="0" w:space="0" w:color="auto"/>
                    <w:left w:val="none" w:sz="0" w:space="0" w:color="auto"/>
                    <w:bottom w:val="none" w:sz="0" w:space="0" w:color="auto"/>
                    <w:right w:val="none" w:sz="0" w:space="0" w:color="auto"/>
                  </w:divBdr>
                </w:div>
                <w:div w:id="922185554">
                  <w:marLeft w:val="0"/>
                  <w:marRight w:val="0"/>
                  <w:marTop w:val="0"/>
                  <w:marBottom w:val="0"/>
                  <w:divBdr>
                    <w:top w:val="none" w:sz="0" w:space="0" w:color="auto"/>
                    <w:left w:val="none" w:sz="0" w:space="0" w:color="auto"/>
                    <w:bottom w:val="none" w:sz="0" w:space="0" w:color="auto"/>
                    <w:right w:val="none" w:sz="0" w:space="0" w:color="auto"/>
                  </w:divBdr>
                </w:div>
                <w:div w:id="1271430995">
                  <w:marLeft w:val="0"/>
                  <w:marRight w:val="0"/>
                  <w:marTop w:val="0"/>
                  <w:marBottom w:val="0"/>
                  <w:divBdr>
                    <w:top w:val="none" w:sz="0" w:space="0" w:color="auto"/>
                    <w:left w:val="none" w:sz="0" w:space="0" w:color="auto"/>
                    <w:bottom w:val="none" w:sz="0" w:space="0" w:color="auto"/>
                    <w:right w:val="none" w:sz="0" w:space="0" w:color="auto"/>
                  </w:divBdr>
                </w:div>
                <w:div w:id="1354108320">
                  <w:marLeft w:val="0"/>
                  <w:marRight w:val="0"/>
                  <w:marTop w:val="0"/>
                  <w:marBottom w:val="0"/>
                  <w:divBdr>
                    <w:top w:val="none" w:sz="0" w:space="0" w:color="auto"/>
                    <w:left w:val="none" w:sz="0" w:space="0" w:color="auto"/>
                    <w:bottom w:val="none" w:sz="0" w:space="0" w:color="auto"/>
                    <w:right w:val="none" w:sz="0" w:space="0" w:color="auto"/>
                  </w:divBdr>
                </w:div>
                <w:div w:id="999773202">
                  <w:marLeft w:val="0"/>
                  <w:marRight w:val="0"/>
                  <w:marTop w:val="0"/>
                  <w:marBottom w:val="0"/>
                  <w:divBdr>
                    <w:top w:val="none" w:sz="0" w:space="0" w:color="auto"/>
                    <w:left w:val="none" w:sz="0" w:space="0" w:color="auto"/>
                    <w:bottom w:val="none" w:sz="0" w:space="0" w:color="auto"/>
                    <w:right w:val="none" w:sz="0" w:space="0" w:color="auto"/>
                  </w:divBdr>
                </w:div>
                <w:div w:id="1479224349">
                  <w:marLeft w:val="0"/>
                  <w:marRight w:val="0"/>
                  <w:marTop w:val="0"/>
                  <w:marBottom w:val="0"/>
                  <w:divBdr>
                    <w:top w:val="none" w:sz="0" w:space="0" w:color="auto"/>
                    <w:left w:val="none" w:sz="0" w:space="0" w:color="auto"/>
                    <w:bottom w:val="none" w:sz="0" w:space="0" w:color="auto"/>
                    <w:right w:val="none" w:sz="0" w:space="0" w:color="auto"/>
                  </w:divBdr>
                </w:div>
                <w:div w:id="1960405579">
                  <w:marLeft w:val="0"/>
                  <w:marRight w:val="0"/>
                  <w:marTop w:val="0"/>
                  <w:marBottom w:val="0"/>
                  <w:divBdr>
                    <w:top w:val="none" w:sz="0" w:space="0" w:color="auto"/>
                    <w:left w:val="none" w:sz="0" w:space="0" w:color="auto"/>
                    <w:bottom w:val="none" w:sz="0" w:space="0" w:color="auto"/>
                    <w:right w:val="none" w:sz="0" w:space="0" w:color="auto"/>
                  </w:divBdr>
                </w:div>
                <w:div w:id="189716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9924480">
          <w:marLeft w:val="0"/>
          <w:marRight w:val="0"/>
          <w:marTop w:val="15"/>
          <w:marBottom w:val="0"/>
          <w:divBdr>
            <w:top w:val="none" w:sz="0" w:space="0" w:color="auto"/>
            <w:left w:val="none" w:sz="0" w:space="0" w:color="auto"/>
            <w:bottom w:val="none" w:sz="0" w:space="0" w:color="auto"/>
            <w:right w:val="none" w:sz="0" w:space="0" w:color="auto"/>
          </w:divBdr>
          <w:divsChild>
            <w:div w:id="893270753">
              <w:marLeft w:val="0"/>
              <w:marRight w:val="0"/>
              <w:marTop w:val="0"/>
              <w:marBottom w:val="0"/>
              <w:divBdr>
                <w:top w:val="none" w:sz="0" w:space="0" w:color="auto"/>
                <w:left w:val="none" w:sz="0" w:space="0" w:color="auto"/>
                <w:bottom w:val="none" w:sz="0" w:space="0" w:color="auto"/>
                <w:right w:val="none" w:sz="0" w:space="0" w:color="auto"/>
              </w:divBdr>
              <w:divsChild>
                <w:div w:id="1482769640">
                  <w:marLeft w:val="0"/>
                  <w:marRight w:val="0"/>
                  <w:marTop w:val="0"/>
                  <w:marBottom w:val="0"/>
                  <w:divBdr>
                    <w:top w:val="none" w:sz="0" w:space="0" w:color="auto"/>
                    <w:left w:val="none" w:sz="0" w:space="0" w:color="auto"/>
                    <w:bottom w:val="none" w:sz="0" w:space="0" w:color="auto"/>
                    <w:right w:val="none" w:sz="0" w:space="0" w:color="auto"/>
                  </w:divBdr>
                </w:div>
                <w:div w:id="494809401">
                  <w:marLeft w:val="0"/>
                  <w:marRight w:val="0"/>
                  <w:marTop w:val="0"/>
                  <w:marBottom w:val="0"/>
                  <w:divBdr>
                    <w:top w:val="none" w:sz="0" w:space="0" w:color="auto"/>
                    <w:left w:val="none" w:sz="0" w:space="0" w:color="auto"/>
                    <w:bottom w:val="none" w:sz="0" w:space="0" w:color="auto"/>
                    <w:right w:val="none" w:sz="0" w:space="0" w:color="auto"/>
                  </w:divBdr>
                </w:div>
                <w:div w:id="788308">
                  <w:marLeft w:val="0"/>
                  <w:marRight w:val="0"/>
                  <w:marTop w:val="0"/>
                  <w:marBottom w:val="0"/>
                  <w:divBdr>
                    <w:top w:val="none" w:sz="0" w:space="0" w:color="auto"/>
                    <w:left w:val="none" w:sz="0" w:space="0" w:color="auto"/>
                    <w:bottom w:val="none" w:sz="0" w:space="0" w:color="auto"/>
                    <w:right w:val="none" w:sz="0" w:space="0" w:color="auto"/>
                  </w:divBdr>
                </w:div>
                <w:div w:id="431048597">
                  <w:marLeft w:val="0"/>
                  <w:marRight w:val="0"/>
                  <w:marTop w:val="0"/>
                  <w:marBottom w:val="0"/>
                  <w:divBdr>
                    <w:top w:val="none" w:sz="0" w:space="0" w:color="auto"/>
                    <w:left w:val="none" w:sz="0" w:space="0" w:color="auto"/>
                    <w:bottom w:val="none" w:sz="0" w:space="0" w:color="auto"/>
                    <w:right w:val="none" w:sz="0" w:space="0" w:color="auto"/>
                  </w:divBdr>
                </w:div>
                <w:div w:id="1025716508">
                  <w:marLeft w:val="0"/>
                  <w:marRight w:val="0"/>
                  <w:marTop w:val="0"/>
                  <w:marBottom w:val="0"/>
                  <w:divBdr>
                    <w:top w:val="none" w:sz="0" w:space="0" w:color="auto"/>
                    <w:left w:val="none" w:sz="0" w:space="0" w:color="auto"/>
                    <w:bottom w:val="none" w:sz="0" w:space="0" w:color="auto"/>
                    <w:right w:val="none" w:sz="0" w:space="0" w:color="auto"/>
                  </w:divBdr>
                </w:div>
                <w:div w:id="628512921">
                  <w:marLeft w:val="0"/>
                  <w:marRight w:val="0"/>
                  <w:marTop w:val="0"/>
                  <w:marBottom w:val="0"/>
                  <w:divBdr>
                    <w:top w:val="none" w:sz="0" w:space="0" w:color="auto"/>
                    <w:left w:val="none" w:sz="0" w:space="0" w:color="auto"/>
                    <w:bottom w:val="none" w:sz="0" w:space="0" w:color="auto"/>
                    <w:right w:val="none" w:sz="0" w:space="0" w:color="auto"/>
                  </w:divBdr>
                </w:div>
                <w:div w:id="389622605">
                  <w:marLeft w:val="0"/>
                  <w:marRight w:val="0"/>
                  <w:marTop w:val="0"/>
                  <w:marBottom w:val="0"/>
                  <w:divBdr>
                    <w:top w:val="none" w:sz="0" w:space="0" w:color="auto"/>
                    <w:left w:val="none" w:sz="0" w:space="0" w:color="auto"/>
                    <w:bottom w:val="none" w:sz="0" w:space="0" w:color="auto"/>
                    <w:right w:val="none" w:sz="0" w:space="0" w:color="auto"/>
                  </w:divBdr>
                </w:div>
                <w:div w:id="1152719517">
                  <w:marLeft w:val="0"/>
                  <w:marRight w:val="0"/>
                  <w:marTop w:val="0"/>
                  <w:marBottom w:val="0"/>
                  <w:divBdr>
                    <w:top w:val="none" w:sz="0" w:space="0" w:color="auto"/>
                    <w:left w:val="none" w:sz="0" w:space="0" w:color="auto"/>
                    <w:bottom w:val="none" w:sz="0" w:space="0" w:color="auto"/>
                    <w:right w:val="none" w:sz="0" w:space="0" w:color="auto"/>
                  </w:divBdr>
                </w:div>
                <w:div w:id="396631645">
                  <w:marLeft w:val="0"/>
                  <w:marRight w:val="0"/>
                  <w:marTop w:val="0"/>
                  <w:marBottom w:val="0"/>
                  <w:divBdr>
                    <w:top w:val="none" w:sz="0" w:space="0" w:color="auto"/>
                    <w:left w:val="none" w:sz="0" w:space="0" w:color="auto"/>
                    <w:bottom w:val="none" w:sz="0" w:space="0" w:color="auto"/>
                    <w:right w:val="none" w:sz="0" w:space="0" w:color="auto"/>
                  </w:divBdr>
                </w:div>
                <w:div w:id="1425998356">
                  <w:marLeft w:val="0"/>
                  <w:marRight w:val="0"/>
                  <w:marTop w:val="0"/>
                  <w:marBottom w:val="0"/>
                  <w:divBdr>
                    <w:top w:val="none" w:sz="0" w:space="0" w:color="auto"/>
                    <w:left w:val="none" w:sz="0" w:space="0" w:color="auto"/>
                    <w:bottom w:val="none" w:sz="0" w:space="0" w:color="auto"/>
                    <w:right w:val="none" w:sz="0" w:space="0" w:color="auto"/>
                  </w:divBdr>
                </w:div>
                <w:div w:id="1275751517">
                  <w:marLeft w:val="0"/>
                  <w:marRight w:val="0"/>
                  <w:marTop w:val="0"/>
                  <w:marBottom w:val="0"/>
                  <w:divBdr>
                    <w:top w:val="none" w:sz="0" w:space="0" w:color="auto"/>
                    <w:left w:val="none" w:sz="0" w:space="0" w:color="auto"/>
                    <w:bottom w:val="none" w:sz="0" w:space="0" w:color="auto"/>
                    <w:right w:val="none" w:sz="0" w:space="0" w:color="auto"/>
                  </w:divBdr>
                </w:div>
                <w:div w:id="1401976837">
                  <w:marLeft w:val="0"/>
                  <w:marRight w:val="0"/>
                  <w:marTop w:val="0"/>
                  <w:marBottom w:val="0"/>
                  <w:divBdr>
                    <w:top w:val="none" w:sz="0" w:space="0" w:color="auto"/>
                    <w:left w:val="none" w:sz="0" w:space="0" w:color="auto"/>
                    <w:bottom w:val="none" w:sz="0" w:space="0" w:color="auto"/>
                    <w:right w:val="none" w:sz="0" w:space="0" w:color="auto"/>
                  </w:divBdr>
                </w:div>
                <w:div w:id="379060250">
                  <w:marLeft w:val="0"/>
                  <w:marRight w:val="0"/>
                  <w:marTop w:val="0"/>
                  <w:marBottom w:val="0"/>
                  <w:divBdr>
                    <w:top w:val="none" w:sz="0" w:space="0" w:color="auto"/>
                    <w:left w:val="none" w:sz="0" w:space="0" w:color="auto"/>
                    <w:bottom w:val="none" w:sz="0" w:space="0" w:color="auto"/>
                    <w:right w:val="none" w:sz="0" w:space="0" w:color="auto"/>
                  </w:divBdr>
                </w:div>
                <w:div w:id="2061243438">
                  <w:marLeft w:val="0"/>
                  <w:marRight w:val="0"/>
                  <w:marTop w:val="0"/>
                  <w:marBottom w:val="0"/>
                  <w:divBdr>
                    <w:top w:val="none" w:sz="0" w:space="0" w:color="auto"/>
                    <w:left w:val="none" w:sz="0" w:space="0" w:color="auto"/>
                    <w:bottom w:val="none" w:sz="0" w:space="0" w:color="auto"/>
                    <w:right w:val="none" w:sz="0" w:space="0" w:color="auto"/>
                  </w:divBdr>
                </w:div>
                <w:div w:id="638264849">
                  <w:marLeft w:val="0"/>
                  <w:marRight w:val="0"/>
                  <w:marTop w:val="0"/>
                  <w:marBottom w:val="0"/>
                  <w:divBdr>
                    <w:top w:val="none" w:sz="0" w:space="0" w:color="auto"/>
                    <w:left w:val="none" w:sz="0" w:space="0" w:color="auto"/>
                    <w:bottom w:val="none" w:sz="0" w:space="0" w:color="auto"/>
                    <w:right w:val="none" w:sz="0" w:space="0" w:color="auto"/>
                  </w:divBdr>
                </w:div>
                <w:div w:id="1934237855">
                  <w:marLeft w:val="0"/>
                  <w:marRight w:val="0"/>
                  <w:marTop w:val="0"/>
                  <w:marBottom w:val="0"/>
                  <w:divBdr>
                    <w:top w:val="none" w:sz="0" w:space="0" w:color="auto"/>
                    <w:left w:val="none" w:sz="0" w:space="0" w:color="auto"/>
                    <w:bottom w:val="none" w:sz="0" w:space="0" w:color="auto"/>
                    <w:right w:val="none" w:sz="0" w:space="0" w:color="auto"/>
                  </w:divBdr>
                </w:div>
                <w:div w:id="36781531">
                  <w:marLeft w:val="0"/>
                  <w:marRight w:val="0"/>
                  <w:marTop w:val="0"/>
                  <w:marBottom w:val="0"/>
                  <w:divBdr>
                    <w:top w:val="none" w:sz="0" w:space="0" w:color="auto"/>
                    <w:left w:val="none" w:sz="0" w:space="0" w:color="auto"/>
                    <w:bottom w:val="none" w:sz="0" w:space="0" w:color="auto"/>
                    <w:right w:val="none" w:sz="0" w:space="0" w:color="auto"/>
                  </w:divBdr>
                </w:div>
                <w:div w:id="387456674">
                  <w:marLeft w:val="0"/>
                  <w:marRight w:val="0"/>
                  <w:marTop w:val="0"/>
                  <w:marBottom w:val="0"/>
                  <w:divBdr>
                    <w:top w:val="none" w:sz="0" w:space="0" w:color="auto"/>
                    <w:left w:val="none" w:sz="0" w:space="0" w:color="auto"/>
                    <w:bottom w:val="none" w:sz="0" w:space="0" w:color="auto"/>
                    <w:right w:val="none" w:sz="0" w:space="0" w:color="auto"/>
                  </w:divBdr>
                </w:div>
                <w:div w:id="794952207">
                  <w:marLeft w:val="0"/>
                  <w:marRight w:val="0"/>
                  <w:marTop w:val="0"/>
                  <w:marBottom w:val="0"/>
                  <w:divBdr>
                    <w:top w:val="none" w:sz="0" w:space="0" w:color="auto"/>
                    <w:left w:val="none" w:sz="0" w:space="0" w:color="auto"/>
                    <w:bottom w:val="none" w:sz="0" w:space="0" w:color="auto"/>
                    <w:right w:val="none" w:sz="0" w:space="0" w:color="auto"/>
                  </w:divBdr>
                </w:div>
                <w:div w:id="1958901874">
                  <w:marLeft w:val="0"/>
                  <w:marRight w:val="0"/>
                  <w:marTop w:val="0"/>
                  <w:marBottom w:val="0"/>
                  <w:divBdr>
                    <w:top w:val="none" w:sz="0" w:space="0" w:color="auto"/>
                    <w:left w:val="none" w:sz="0" w:space="0" w:color="auto"/>
                    <w:bottom w:val="none" w:sz="0" w:space="0" w:color="auto"/>
                    <w:right w:val="none" w:sz="0" w:space="0" w:color="auto"/>
                  </w:divBdr>
                </w:div>
                <w:div w:id="1328247273">
                  <w:marLeft w:val="0"/>
                  <w:marRight w:val="0"/>
                  <w:marTop w:val="0"/>
                  <w:marBottom w:val="0"/>
                  <w:divBdr>
                    <w:top w:val="none" w:sz="0" w:space="0" w:color="auto"/>
                    <w:left w:val="none" w:sz="0" w:space="0" w:color="auto"/>
                    <w:bottom w:val="none" w:sz="0" w:space="0" w:color="auto"/>
                    <w:right w:val="none" w:sz="0" w:space="0" w:color="auto"/>
                  </w:divBdr>
                </w:div>
                <w:div w:id="825169960">
                  <w:marLeft w:val="0"/>
                  <w:marRight w:val="0"/>
                  <w:marTop w:val="0"/>
                  <w:marBottom w:val="0"/>
                  <w:divBdr>
                    <w:top w:val="none" w:sz="0" w:space="0" w:color="auto"/>
                    <w:left w:val="none" w:sz="0" w:space="0" w:color="auto"/>
                    <w:bottom w:val="none" w:sz="0" w:space="0" w:color="auto"/>
                    <w:right w:val="none" w:sz="0" w:space="0" w:color="auto"/>
                  </w:divBdr>
                </w:div>
                <w:div w:id="1322613543">
                  <w:marLeft w:val="0"/>
                  <w:marRight w:val="0"/>
                  <w:marTop w:val="0"/>
                  <w:marBottom w:val="0"/>
                  <w:divBdr>
                    <w:top w:val="none" w:sz="0" w:space="0" w:color="auto"/>
                    <w:left w:val="none" w:sz="0" w:space="0" w:color="auto"/>
                    <w:bottom w:val="none" w:sz="0" w:space="0" w:color="auto"/>
                    <w:right w:val="none" w:sz="0" w:space="0" w:color="auto"/>
                  </w:divBdr>
                </w:div>
                <w:div w:id="867721202">
                  <w:marLeft w:val="0"/>
                  <w:marRight w:val="0"/>
                  <w:marTop w:val="0"/>
                  <w:marBottom w:val="0"/>
                  <w:divBdr>
                    <w:top w:val="none" w:sz="0" w:space="0" w:color="auto"/>
                    <w:left w:val="none" w:sz="0" w:space="0" w:color="auto"/>
                    <w:bottom w:val="none" w:sz="0" w:space="0" w:color="auto"/>
                    <w:right w:val="none" w:sz="0" w:space="0" w:color="auto"/>
                  </w:divBdr>
                </w:div>
                <w:div w:id="1702705098">
                  <w:marLeft w:val="0"/>
                  <w:marRight w:val="0"/>
                  <w:marTop w:val="0"/>
                  <w:marBottom w:val="0"/>
                  <w:divBdr>
                    <w:top w:val="none" w:sz="0" w:space="0" w:color="auto"/>
                    <w:left w:val="none" w:sz="0" w:space="0" w:color="auto"/>
                    <w:bottom w:val="none" w:sz="0" w:space="0" w:color="auto"/>
                    <w:right w:val="none" w:sz="0" w:space="0" w:color="auto"/>
                  </w:divBdr>
                </w:div>
                <w:div w:id="1672828739">
                  <w:marLeft w:val="0"/>
                  <w:marRight w:val="0"/>
                  <w:marTop w:val="0"/>
                  <w:marBottom w:val="0"/>
                  <w:divBdr>
                    <w:top w:val="none" w:sz="0" w:space="0" w:color="auto"/>
                    <w:left w:val="none" w:sz="0" w:space="0" w:color="auto"/>
                    <w:bottom w:val="none" w:sz="0" w:space="0" w:color="auto"/>
                    <w:right w:val="none" w:sz="0" w:space="0" w:color="auto"/>
                  </w:divBdr>
                </w:div>
                <w:div w:id="149503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538596">
          <w:marLeft w:val="0"/>
          <w:marRight w:val="0"/>
          <w:marTop w:val="15"/>
          <w:marBottom w:val="0"/>
          <w:divBdr>
            <w:top w:val="none" w:sz="0" w:space="0" w:color="auto"/>
            <w:left w:val="none" w:sz="0" w:space="0" w:color="auto"/>
            <w:bottom w:val="none" w:sz="0" w:space="0" w:color="auto"/>
            <w:right w:val="none" w:sz="0" w:space="0" w:color="auto"/>
          </w:divBdr>
          <w:divsChild>
            <w:div w:id="982127062">
              <w:marLeft w:val="0"/>
              <w:marRight w:val="0"/>
              <w:marTop w:val="0"/>
              <w:marBottom w:val="0"/>
              <w:divBdr>
                <w:top w:val="none" w:sz="0" w:space="0" w:color="auto"/>
                <w:left w:val="none" w:sz="0" w:space="0" w:color="auto"/>
                <w:bottom w:val="none" w:sz="0" w:space="0" w:color="auto"/>
                <w:right w:val="none" w:sz="0" w:space="0" w:color="auto"/>
              </w:divBdr>
              <w:divsChild>
                <w:div w:id="2068524794">
                  <w:marLeft w:val="0"/>
                  <w:marRight w:val="0"/>
                  <w:marTop w:val="0"/>
                  <w:marBottom w:val="0"/>
                  <w:divBdr>
                    <w:top w:val="none" w:sz="0" w:space="0" w:color="auto"/>
                    <w:left w:val="none" w:sz="0" w:space="0" w:color="auto"/>
                    <w:bottom w:val="none" w:sz="0" w:space="0" w:color="auto"/>
                    <w:right w:val="none" w:sz="0" w:space="0" w:color="auto"/>
                  </w:divBdr>
                </w:div>
                <w:div w:id="1396466678">
                  <w:marLeft w:val="0"/>
                  <w:marRight w:val="0"/>
                  <w:marTop w:val="0"/>
                  <w:marBottom w:val="0"/>
                  <w:divBdr>
                    <w:top w:val="none" w:sz="0" w:space="0" w:color="auto"/>
                    <w:left w:val="none" w:sz="0" w:space="0" w:color="auto"/>
                    <w:bottom w:val="none" w:sz="0" w:space="0" w:color="auto"/>
                    <w:right w:val="none" w:sz="0" w:space="0" w:color="auto"/>
                  </w:divBdr>
                </w:div>
                <w:div w:id="1912809931">
                  <w:marLeft w:val="0"/>
                  <w:marRight w:val="0"/>
                  <w:marTop w:val="0"/>
                  <w:marBottom w:val="0"/>
                  <w:divBdr>
                    <w:top w:val="none" w:sz="0" w:space="0" w:color="auto"/>
                    <w:left w:val="none" w:sz="0" w:space="0" w:color="auto"/>
                    <w:bottom w:val="none" w:sz="0" w:space="0" w:color="auto"/>
                    <w:right w:val="none" w:sz="0" w:space="0" w:color="auto"/>
                  </w:divBdr>
                </w:div>
                <w:div w:id="1852261215">
                  <w:marLeft w:val="0"/>
                  <w:marRight w:val="0"/>
                  <w:marTop w:val="0"/>
                  <w:marBottom w:val="0"/>
                  <w:divBdr>
                    <w:top w:val="none" w:sz="0" w:space="0" w:color="auto"/>
                    <w:left w:val="none" w:sz="0" w:space="0" w:color="auto"/>
                    <w:bottom w:val="none" w:sz="0" w:space="0" w:color="auto"/>
                    <w:right w:val="none" w:sz="0" w:space="0" w:color="auto"/>
                  </w:divBdr>
                </w:div>
                <w:div w:id="693653678">
                  <w:marLeft w:val="0"/>
                  <w:marRight w:val="0"/>
                  <w:marTop w:val="0"/>
                  <w:marBottom w:val="0"/>
                  <w:divBdr>
                    <w:top w:val="none" w:sz="0" w:space="0" w:color="auto"/>
                    <w:left w:val="none" w:sz="0" w:space="0" w:color="auto"/>
                    <w:bottom w:val="none" w:sz="0" w:space="0" w:color="auto"/>
                    <w:right w:val="none" w:sz="0" w:space="0" w:color="auto"/>
                  </w:divBdr>
                </w:div>
                <w:div w:id="1091661074">
                  <w:marLeft w:val="0"/>
                  <w:marRight w:val="0"/>
                  <w:marTop w:val="0"/>
                  <w:marBottom w:val="0"/>
                  <w:divBdr>
                    <w:top w:val="none" w:sz="0" w:space="0" w:color="auto"/>
                    <w:left w:val="none" w:sz="0" w:space="0" w:color="auto"/>
                    <w:bottom w:val="none" w:sz="0" w:space="0" w:color="auto"/>
                    <w:right w:val="none" w:sz="0" w:space="0" w:color="auto"/>
                  </w:divBdr>
                </w:div>
                <w:div w:id="1888836074">
                  <w:marLeft w:val="0"/>
                  <w:marRight w:val="0"/>
                  <w:marTop w:val="0"/>
                  <w:marBottom w:val="0"/>
                  <w:divBdr>
                    <w:top w:val="none" w:sz="0" w:space="0" w:color="auto"/>
                    <w:left w:val="none" w:sz="0" w:space="0" w:color="auto"/>
                    <w:bottom w:val="none" w:sz="0" w:space="0" w:color="auto"/>
                    <w:right w:val="none" w:sz="0" w:space="0" w:color="auto"/>
                  </w:divBdr>
                </w:div>
                <w:div w:id="258803256">
                  <w:marLeft w:val="0"/>
                  <w:marRight w:val="0"/>
                  <w:marTop w:val="0"/>
                  <w:marBottom w:val="0"/>
                  <w:divBdr>
                    <w:top w:val="none" w:sz="0" w:space="0" w:color="auto"/>
                    <w:left w:val="none" w:sz="0" w:space="0" w:color="auto"/>
                    <w:bottom w:val="none" w:sz="0" w:space="0" w:color="auto"/>
                    <w:right w:val="none" w:sz="0" w:space="0" w:color="auto"/>
                  </w:divBdr>
                </w:div>
                <w:div w:id="341205308">
                  <w:marLeft w:val="0"/>
                  <w:marRight w:val="0"/>
                  <w:marTop w:val="0"/>
                  <w:marBottom w:val="0"/>
                  <w:divBdr>
                    <w:top w:val="none" w:sz="0" w:space="0" w:color="auto"/>
                    <w:left w:val="none" w:sz="0" w:space="0" w:color="auto"/>
                    <w:bottom w:val="none" w:sz="0" w:space="0" w:color="auto"/>
                    <w:right w:val="none" w:sz="0" w:space="0" w:color="auto"/>
                  </w:divBdr>
                </w:div>
                <w:div w:id="1910460705">
                  <w:marLeft w:val="0"/>
                  <w:marRight w:val="0"/>
                  <w:marTop w:val="0"/>
                  <w:marBottom w:val="0"/>
                  <w:divBdr>
                    <w:top w:val="none" w:sz="0" w:space="0" w:color="auto"/>
                    <w:left w:val="none" w:sz="0" w:space="0" w:color="auto"/>
                    <w:bottom w:val="none" w:sz="0" w:space="0" w:color="auto"/>
                    <w:right w:val="none" w:sz="0" w:space="0" w:color="auto"/>
                  </w:divBdr>
                </w:div>
                <w:div w:id="241069300">
                  <w:marLeft w:val="0"/>
                  <w:marRight w:val="0"/>
                  <w:marTop w:val="0"/>
                  <w:marBottom w:val="0"/>
                  <w:divBdr>
                    <w:top w:val="none" w:sz="0" w:space="0" w:color="auto"/>
                    <w:left w:val="none" w:sz="0" w:space="0" w:color="auto"/>
                    <w:bottom w:val="none" w:sz="0" w:space="0" w:color="auto"/>
                    <w:right w:val="none" w:sz="0" w:space="0" w:color="auto"/>
                  </w:divBdr>
                </w:div>
                <w:div w:id="1954941450">
                  <w:marLeft w:val="0"/>
                  <w:marRight w:val="0"/>
                  <w:marTop w:val="0"/>
                  <w:marBottom w:val="0"/>
                  <w:divBdr>
                    <w:top w:val="none" w:sz="0" w:space="0" w:color="auto"/>
                    <w:left w:val="none" w:sz="0" w:space="0" w:color="auto"/>
                    <w:bottom w:val="none" w:sz="0" w:space="0" w:color="auto"/>
                    <w:right w:val="none" w:sz="0" w:space="0" w:color="auto"/>
                  </w:divBdr>
                </w:div>
                <w:div w:id="712536662">
                  <w:marLeft w:val="0"/>
                  <w:marRight w:val="0"/>
                  <w:marTop w:val="0"/>
                  <w:marBottom w:val="0"/>
                  <w:divBdr>
                    <w:top w:val="none" w:sz="0" w:space="0" w:color="auto"/>
                    <w:left w:val="none" w:sz="0" w:space="0" w:color="auto"/>
                    <w:bottom w:val="none" w:sz="0" w:space="0" w:color="auto"/>
                    <w:right w:val="none" w:sz="0" w:space="0" w:color="auto"/>
                  </w:divBdr>
                </w:div>
                <w:div w:id="1764571875">
                  <w:marLeft w:val="0"/>
                  <w:marRight w:val="0"/>
                  <w:marTop w:val="0"/>
                  <w:marBottom w:val="0"/>
                  <w:divBdr>
                    <w:top w:val="none" w:sz="0" w:space="0" w:color="auto"/>
                    <w:left w:val="none" w:sz="0" w:space="0" w:color="auto"/>
                    <w:bottom w:val="none" w:sz="0" w:space="0" w:color="auto"/>
                    <w:right w:val="none" w:sz="0" w:space="0" w:color="auto"/>
                  </w:divBdr>
                </w:div>
                <w:div w:id="712845179">
                  <w:marLeft w:val="0"/>
                  <w:marRight w:val="0"/>
                  <w:marTop w:val="0"/>
                  <w:marBottom w:val="0"/>
                  <w:divBdr>
                    <w:top w:val="none" w:sz="0" w:space="0" w:color="auto"/>
                    <w:left w:val="none" w:sz="0" w:space="0" w:color="auto"/>
                    <w:bottom w:val="none" w:sz="0" w:space="0" w:color="auto"/>
                    <w:right w:val="none" w:sz="0" w:space="0" w:color="auto"/>
                  </w:divBdr>
                </w:div>
                <w:div w:id="966860342">
                  <w:marLeft w:val="0"/>
                  <w:marRight w:val="0"/>
                  <w:marTop w:val="0"/>
                  <w:marBottom w:val="0"/>
                  <w:divBdr>
                    <w:top w:val="none" w:sz="0" w:space="0" w:color="auto"/>
                    <w:left w:val="none" w:sz="0" w:space="0" w:color="auto"/>
                    <w:bottom w:val="none" w:sz="0" w:space="0" w:color="auto"/>
                    <w:right w:val="none" w:sz="0" w:space="0" w:color="auto"/>
                  </w:divBdr>
                </w:div>
                <w:div w:id="259993751">
                  <w:marLeft w:val="0"/>
                  <w:marRight w:val="0"/>
                  <w:marTop w:val="0"/>
                  <w:marBottom w:val="0"/>
                  <w:divBdr>
                    <w:top w:val="none" w:sz="0" w:space="0" w:color="auto"/>
                    <w:left w:val="none" w:sz="0" w:space="0" w:color="auto"/>
                    <w:bottom w:val="none" w:sz="0" w:space="0" w:color="auto"/>
                    <w:right w:val="none" w:sz="0" w:space="0" w:color="auto"/>
                  </w:divBdr>
                </w:div>
                <w:div w:id="535197736">
                  <w:marLeft w:val="0"/>
                  <w:marRight w:val="0"/>
                  <w:marTop w:val="0"/>
                  <w:marBottom w:val="0"/>
                  <w:divBdr>
                    <w:top w:val="none" w:sz="0" w:space="0" w:color="auto"/>
                    <w:left w:val="none" w:sz="0" w:space="0" w:color="auto"/>
                    <w:bottom w:val="none" w:sz="0" w:space="0" w:color="auto"/>
                    <w:right w:val="none" w:sz="0" w:space="0" w:color="auto"/>
                  </w:divBdr>
                </w:div>
                <w:div w:id="923874051">
                  <w:marLeft w:val="0"/>
                  <w:marRight w:val="0"/>
                  <w:marTop w:val="0"/>
                  <w:marBottom w:val="0"/>
                  <w:divBdr>
                    <w:top w:val="none" w:sz="0" w:space="0" w:color="auto"/>
                    <w:left w:val="none" w:sz="0" w:space="0" w:color="auto"/>
                    <w:bottom w:val="none" w:sz="0" w:space="0" w:color="auto"/>
                    <w:right w:val="none" w:sz="0" w:space="0" w:color="auto"/>
                  </w:divBdr>
                </w:div>
                <w:div w:id="152528800">
                  <w:marLeft w:val="0"/>
                  <w:marRight w:val="0"/>
                  <w:marTop w:val="0"/>
                  <w:marBottom w:val="0"/>
                  <w:divBdr>
                    <w:top w:val="none" w:sz="0" w:space="0" w:color="auto"/>
                    <w:left w:val="none" w:sz="0" w:space="0" w:color="auto"/>
                    <w:bottom w:val="none" w:sz="0" w:space="0" w:color="auto"/>
                    <w:right w:val="none" w:sz="0" w:space="0" w:color="auto"/>
                  </w:divBdr>
                </w:div>
                <w:div w:id="2136679909">
                  <w:marLeft w:val="0"/>
                  <w:marRight w:val="0"/>
                  <w:marTop w:val="0"/>
                  <w:marBottom w:val="0"/>
                  <w:divBdr>
                    <w:top w:val="none" w:sz="0" w:space="0" w:color="auto"/>
                    <w:left w:val="none" w:sz="0" w:space="0" w:color="auto"/>
                    <w:bottom w:val="none" w:sz="0" w:space="0" w:color="auto"/>
                    <w:right w:val="none" w:sz="0" w:space="0" w:color="auto"/>
                  </w:divBdr>
                </w:div>
                <w:div w:id="1147435169">
                  <w:marLeft w:val="0"/>
                  <w:marRight w:val="0"/>
                  <w:marTop w:val="0"/>
                  <w:marBottom w:val="0"/>
                  <w:divBdr>
                    <w:top w:val="none" w:sz="0" w:space="0" w:color="auto"/>
                    <w:left w:val="none" w:sz="0" w:space="0" w:color="auto"/>
                    <w:bottom w:val="none" w:sz="0" w:space="0" w:color="auto"/>
                    <w:right w:val="none" w:sz="0" w:space="0" w:color="auto"/>
                  </w:divBdr>
                </w:div>
                <w:div w:id="1632638433">
                  <w:marLeft w:val="0"/>
                  <w:marRight w:val="0"/>
                  <w:marTop w:val="0"/>
                  <w:marBottom w:val="0"/>
                  <w:divBdr>
                    <w:top w:val="none" w:sz="0" w:space="0" w:color="auto"/>
                    <w:left w:val="none" w:sz="0" w:space="0" w:color="auto"/>
                    <w:bottom w:val="none" w:sz="0" w:space="0" w:color="auto"/>
                    <w:right w:val="none" w:sz="0" w:space="0" w:color="auto"/>
                  </w:divBdr>
                </w:div>
                <w:div w:id="1678581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9373">
          <w:marLeft w:val="0"/>
          <w:marRight w:val="0"/>
          <w:marTop w:val="15"/>
          <w:marBottom w:val="0"/>
          <w:divBdr>
            <w:top w:val="none" w:sz="0" w:space="0" w:color="auto"/>
            <w:left w:val="none" w:sz="0" w:space="0" w:color="auto"/>
            <w:bottom w:val="none" w:sz="0" w:space="0" w:color="auto"/>
            <w:right w:val="none" w:sz="0" w:space="0" w:color="auto"/>
          </w:divBdr>
          <w:divsChild>
            <w:div w:id="312178556">
              <w:marLeft w:val="0"/>
              <w:marRight w:val="0"/>
              <w:marTop w:val="0"/>
              <w:marBottom w:val="0"/>
              <w:divBdr>
                <w:top w:val="none" w:sz="0" w:space="0" w:color="auto"/>
                <w:left w:val="none" w:sz="0" w:space="0" w:color="auto"/>
                <w:bottom w:val="none" w:sz="0" w:space="0" w:color="auto"/>
                <w:right w:val="none" w:sz="0" w:space="0" w:color="auto"/>
              </w:divBdr>
              <w:divsChild>
                <w:div w:id="1166091187">
                  <w:marLeft w:val="0"/>
                  <w:marRight w:val="0"/>
                  <w:marTop w:val="0"/>
                  <w:marBottom w:val="0"/>
                  <w:divBdr>
                    <w:top w:val="none" w:sz="0" w:space="0" w:color="auto"/>
                    <w:left w:val="none" w:sz="0" w:space="0" w:color="auto"/>
                    <w:bottom w:val="none" w:sz="0" w:space="0" w:color="auto"/>
                    <w:right w:val="none" w:sz="0" w:space="0" w:color="auto"/>
                  </w:divBdr>
                </w:div>
                <w:div w:id="397627844">
                  <w:marLeft w:val="0"/>
                  <w:marRight w:val="0"/>
                  <w:marTop w:val="0"/>
                  <w:marBottom w:val="0"/>
                  <w:divBdr>
                    <w:top w:val="none" w:sz="0" w:space="0" w:color="auto"/>
                    <w:left w:val="none" w:sz="0" w:space="0" w:color="auto"/>
                    <w:bottom w:val="none" w:sz="0" w:space="0" w:color="auto"/>
                    <w:right w:val="none" w:sz="0" w:space="0" w:color="auto"/>
                  </w:divBdr>
                </w:div>
                <w:div w:id="1977443385">
                  <w:marLeft w:val="0"/>
                  <w:marRight w:val="0"/>
                  <w:marTop w:val="0"/>
                  <w:marBottom w:val="0"/>
                  <w:divBdr>
                    <w:top w:val="none" w:sz="0" w:space="0" w:color="auto"/>
                    <w:left w:val="none" w:sz="0" w:space="0" w:color="auto"/>
                    <w:bottom w:val="none" w:sz="0" w:space="0" w:color="auto"/>
                    <w:right w:val="none" w:sz="0" w:space="0" w:color="auto"/>
                  </w:divBdr>
                </w:div>
                <w:div w:id="1966038926">
                  <w:marLeft w:val="0"/>
                  <w:marRight w:val="0"/>
                  <w:marTop w:val="0"/>
                  <w:marBottom w:val="0"/>
                  <w:divBdr>
                    <w:top w:val="none" w:sz="0" w:space="0" w:color="auto"/>
                    <w:left w:val="none" w:sz="0" w:space="0" w:color="auto"/>
                    <w:bottom w:val="none" w:sz="0" w:space="0" w:color="auto"/>
                    <w:right w:val="none" w:sz="0" w:space="0" w:color="auto"/>
                  </w:divBdr>
                </w:div>
                <w:div w:id="1843232272">
                  <w:marLeft w:val="0"/>
                  <w:marRight w:val="0"/>
                  <w:marTop w:val="0"/>
                  <w:marBottom w:val="0"/>
                  <w:divBdr>
                    <w:top w:val="none" w:sz="0" w:space="0" w:color="auto"/>
                    <w:left w:val="none" w:sz="0" w:space="0" w:color="auto"/>
                    <w:bottom w:val="none" w:sz="0" w:space="0" w:color="auto"/>
                    <w:right w:val="none" w:sz="0" w:space="0" w:color="auto"/>
                  </w:divBdr>
                </w:div>
                <w:div w:id="1317153219">
                  <w:marLeft w:val="0"/>
                  <w:marRight w:val="0"/>
                  <w:marTop w:val="0"/>
                  <w:marBottom w:val="0"/>
                  <w:divBdr>
                    <w:top w:val="none" w:sz="0" w:space="0" w:color="auto"/>
                    <w:left w:val="none" w:sz="0" w:space="0" w:color="auto"/>
                    <w:bottom w:val="none" w:sz="0" w:space="0" w:color="auto"/>
                    <w:right w:val="none" w:sz="0" w:space="0" w:color="auto"/>
                  </w:divBdr>
                </w:div>
                <w:div w:id="1002123109">
                  <w:marLeft w:val="0"/>
                  <w:marRight w:val="0"/>
                  <w:marTop w:val="0"/>
                  <w:marBottom w:val="0"/>
                  <w:divBdr>
                    <w:top w:val="none" w:sz="0" w:space="0" w:color="auto"/>
                    <w:left w:val="none" w:sz="0" w:space="0" w:color="auto"/>
                    <w:bottom w:val="none" w:sz="0" w:space="0" w:color="auto"/>
                    <w:right w:val="none" w:sz="0" w:space="0" w:color="auto"/>
                  </w:divBdr>
                </w:div>
                <w:div w:id="1049647589">
                  <w:marLeft w:val="0"/>
                  <w:marRight w:val="0"/>
                  <w:marTop w:val="0"/>
                  <w:marBottom w:val="0"/>
                  <w:divBdr>
                    <w:top w:val="none" w:sz="0" w:space="0" w:color="auto"/>
                    <w:left w:val="none" w:sz="0" w:space="0" w:color="auto"/>
                    <w:bottom w:val="none" w:sz="0" w:space="0" w:color="auto"/>
                    <w:right w:val="none" w:sz="0" w:space="0" w:color="auto"/>
                  </w:divBdr>
                </w:div>
                <w:div w:id="1497722466">
                  <w:marLeft w:val="0"/>
                  <w:marRight w:val="0"/>
                  <w:marTop w:val="0"/>
                  <w:marBottom w:val="0"/>
                  <w:divBdr>
                    <w:top w:val="none" w:sz="0" w:space="0" w:color="auto"/>
                    <w:left w:val="none" w:sz="0" w:space="0" w:color="auto"/>
                    <w:bottom w:val="none" w:sz="0" w:space="0" w:color="auto"/>
                    <w:right w:val="none" w:sz="0" w:space="0" w:color="auto"/>
                  </w:divBdr>
                </w:div>
                <w:div w:id="1003627499">
                  <w:marLeft w:val="0"/>
                  <w:marRight w:val="0"/>
                  <w:marTop w:val="0"/>
                  <w:marBottom w:val="0"/>
                  <w:divBdr>
                    <w:top w:val="none" w:sz="0" w:space="0" w:color="auto"/>
                    <w:left w:val="none" w:sz="0" w:space="0" w:color="auto"/>
                    <w:bottom w:val="none" w:sz="0" w:space="0" w:color="auto"/>
                    <w:right w:val="none" w:sz="0" w:space="0" w:color="auto"/>
                  </w:divBdr>
                </w:div>
                <w:div w:id="2005234891">
                  <w:marLeft w:val="0"/>
                  <w:marRight w:val="0"/>
                  <w:marTop w:val="0"/>
                  <w:marBottom w:val="0"/>
                  <w:divBdr>
                    <w:top w:val="none" w:sz="0" w:space="0" w:color="auto"/>
                    <w:left w:val="none" w:sz="0" w:space="0" w:color="auto"/>
                    <w:bottom w:val="none" w:sz="0" w:space="0" w:color="auto"/>
                    <w:right w:val="none" w:sz="0" w:space="0" w:color="auto"/>
                  </w:divBdr>
                </w:div>
                <w:div w:id="1230000124">
                  <w:marLeft w:val="0"/>
                  <w:marRight w:val="0"/>
                  <w:marTop w:val="0"/>
                  <w:marBottom w:val="0"/>
                  <w:divBdr>
                    <w:top w:val="none" w:sz="0" w:space="0" w:color="auto"/>
                    <w:left w:val="none" w:sz="0" w:space="0" w:color="auto"/>
                    <w:bottom w:val="none" w:sz="0" w:space="0" w:color="auto"/>
                    <w:right w:val="none" w:sz="0" w:space="0" w:color="auto"/>
                  </w:divBdr>
                </w:div>
                <w:div w:id="680669651">
                  <w:marLeft w:val="0"/>
                  <w:marRight w:val="0"/>
                  <w:marTop w:val="0"/>
                  <w:marBottom w:val="0"/>
                  <w:divBdr>
                    <w:top w:val="none" w:sz="0" w:space="0" w:color="auto"/>
                    <w:left w:val="none" w:sz="0" w:space="0" w:color="auto"/>
                    <w:bottom w:val="none" w:sz="0" w:space="0" w:color="auto"/>
                    <w:right w:val="none" w:sz="0" w:space="0" w:color="auto"/>
                  </w:divBdr>
                </w:div>
                <w:div w:id="17052832">
                  <w:marLeft w:val="0"/>
                  <w:marRight w:val="0"/>
                  <w:marTop w:val="0"/>
                  <w:marBottom w:val="0"/>
                  <w:divBdr>
                    <w:top w:val="none" w:sz="0" w:space="0" w:color="auto"/>
                    <w:left w:val="none" w:sz="0" w:space="0" w:color="auto"/>
                    <w:bottom w:val="none" w:sz="0" w:space="0" w:color="auto"/>
                    <w:right w:val="none" w:sz="0" w:space="0" w:color="auto"/>
                  </w:divBdr>
                </w:div>
                <w:div w:id="1844319728">
                  <w:marLeft w:val="0"/>
                  <w:marRight w:val="0"/>
                  <w:marTop w:val="0"/>
                  <w:marBottom w:val="0"/>
                  <w:divBdr>
                    <w:top w:val="none" w:sz="0" w:space="0" w:color="auto"/>
                    <w:left w:val="none" w:sz="0" w:space="0" w:color="auto"/>
                    <w:bottom w:val="none" w:sz="0" w:space="0" w:color="auto"/>
                    <w:right w:val="none" w:sz="0" w:space="0" w:color="auto"/>
                  </w:divBdr>
                </w:div>
                <w:div w:id="653488949">
                  <w:marLeft w:val="0"/>
                  <w:marRight w:val="0"/>
                  <w:marTop w:val="0"/>
                  <w:marBottom w:val="0"/>
                  <w:divBdr>
                    <w:top w:val="none" w:sz="0" w:space="0" w:color="auto"/>
                    <w:left w:val="none" w:sz="0" w:space="0" w:color="auto"/>
                    <w:bottom w:val="none" w:sz="0" w:space="0" w:color="auto"/>
                    <w:right w:val="none" w:sz="0" w:space="0" w:color="auto"/>
                  </w:divBdr>
                </w:div>
                <w:div w:id="1822194408">
                  <w:marLeft w:val="0"/>
                  <w:marRight w:val="0"/>
                  <w:marTop w:val="0"/>
                  <w:marBottom w:val="0"/>
                  <w:divBdr>
                    <w:top w:val="none" w:sz="0" w:space="0" w:color="auto"/>
                    <w:left w:val="none" w:sz="0" w:space="0" w:color="auto"/>
                    <w:bottom w:val="none" w:sz="0" w:space="0" w:color="auto"/>
                    <w:right w:val="none" w:sz="0" w:space="0" w:color="auto"/>
                  </w:divBdr>
                </w:div>
                <w:div w:id="1369993013">
                  <w:marLeft w:val="0"/>
                  <w:marRight w:val="0"/>
                  <w:marTop w:val="0"/>
                  <w:marBottom w:val="0"/>
                  <w:divBdr>
                    <w:top w:val="none" w:sz="0" w:space="0" w:color="auto"/>
                    <w:left w:val="none" w:sz="0" w:space="0" w:color="auto"/>
                    <w:bottom w:val="none" w:sz="0" w:space="0" w:color="auto"/>
                    <w:right w:val="none" w:sz="0" w:space="0" w:color="auto"/>
                  </w:divBdr>
                </w:div>
                <w:div w:id="2008706402">
                  <w:marLeft w:val="0"/>
                  <w:marRight w:val="0"/>
                  <w:marTop w:val="0"/>
                  <w:marBottom w:val="0"/>
                  <w:divBdr>
                    <w:top w:val="none" w:sz="0" w:space="0" w:color="auto"/>
                    <w:left w:val="none" w:sz="0" w:space="0" w:color="auto"/>
                    <w:bottom w:val="none" w:sz="0" w:space="0" w:color="auto"/>
                    <w:right w:val="none" w:sz="0" w:space="0" w:color="auto"/>
                  </w:divBdr>
                </w:div>
                <w:div w:id="2029869359">
                  <w:marLeft w:val="0"/>
                  <w:marRight w:val="0"/>
                  <w:marTop w:val="0"/>
                  <w:marBottom w:val="0"/>
                  <w:divBdr>
                    <w:top w:val="none" w:sz="0" w:space="0" w:color="auto"/>
                    <w:left w:val="none" w:sz="0" w:space="0" w:color="auto"/>
                    <w:bottom w:val="none" w:sz="0" w:space="0" w:color="auto"/>
                    <w:right w:val="none" w:sz="0" w:space="0" w:color="auto"/>
                  </w:divBdr>
                </w:div>
                <w:div w:id="251087336">
                  <w:marLeft w:val="0"/>
                  <w:marRight w:val="0"/>
                  <w:marTop w:val="0"/>
                  <w:marBottom w:val="0"/>
                  <w:divBdr>
                    <w:top w:val="none" w:sz="0" w:space="0" w:color="auto"/>
                    <w:left w:val="none" w:sz="0" w:space="0" w:color="auto"/>
                    <w:bottom w:val="none" w:sz="0" w:space="0" w:color="auto"/>
                    <w:right w:val="none" w:sz="0" w:space="0" w:color="auto"/>
                  </w:divBdr>
                </w:div>
                <w:div w:id="1897010033">
                  <w:marLeft w:val="0"/>
                  <w:marRight w:val="0"/>
                  <w:marTop w:val="0"/>
                  <w:marBottom w:val="0"/>
                  <w:divBdr>
                    <w:top w:val="none" w:sz="0" w:space="0" w:color="auto"/>
                    <w:left w:val="none" w:sz="0" w:space="0" w:color="auto"/>
                    <w:bottom w:val="none" w:sz="0" w:space="0" w:color="auto"/>
                    <w:right w:val="none" w:sz="0" w:space="0" w:color="auto"/>
                  </w:divBdr>
                </w:div>
                <w:div w:id="1469126431">
                  <w:marLeft w:val="0"/>
                  <w:marRight w:val="0"/>
                  <w:marTop w:val="0"/>
                  <w:marBottom w:val="0"/>
                  <w:divBdr>
                    <w:top w:val="none" w:sz="0" w:space="0" w:color="auto"/>
                    <w:left w:val="none" w:sz="0" w:space="0" w:color="auto"/>
                    <w:bottom w:val="none" w:sz="0" w:space="0" w:color="auto"/>
                    <w:right w:val="none" w:sz="0" w:space="0" w:color="auto"/>
                  </w:divBdr>
                </w:div>
                <w:div w:id="2101677127">
                  <w:marLeft w:val="0"/>
                  <w:marRight w:val="0"/>
                  <w:marTop w:val="0"/>
                  <w:marBottom w:val="0"/>
                  <w:divBdr>
                    <w:top w:val="none" w:sz="0" w:space="0" w:color="auto"/>
                    <w:left w:val="none" w:sz="0" w:space="0" w:color="auto"/>
                    <w:bottom w:val="none" w:sz="0" w:space="0" w:color="auto"/>
                    <w:right w:val="none" w:sz="0" w:space="0" w:color="auto"/>
                  </w:divBdr>
                </w:div>
                <w:div w:id="2135169047">
                  <w:marLeft w:val="0"/>
                  <w:marRight w:val="0"/>
                  <w:marTop w:val="0"/>
                  <w:marBottom w:val="0"/>
                  <w:divBdr>
                    <w:top w:val="none" w:sz="0" w:space="0" w:color="auto"/>
                    <w:left w:val="none" w:sz="0" w:space="0" w:color="auto"/>
                    <w:bottom w:val="none" w:sz="0" w:space="0" w:color="auto"/>
                    <w:right w:val="none" w:sz="0" w:space="0" w:color="auto"/>
                  </w:divBdr>
                </w:div>
                <w:div w:id="701131708">
                  <w:marLeft w:val="0"/>
                  <w:marRight w:val="0"/>
                  <w:marTop w:val="0"/>
                  <w:marBottom w:val="0"/>
                  <w:divBdr>
                    <w:top w:val="none" w:sz="0" w:space="0" w:color="auto"/>
                    <w:left w:val="none" w:sz="0" w:space="0" w:color="auto"/>
                    <w:bottom w:val="none" w:sz="0" w:space="0" w:color="auto"/>
                    <w:right w:val="none" w:sz="0" w:space="0" w:color="auto"/>
                  </w:divBdr>
                </w:div>
                <w:div w:id="756947762">
                  <w:marLeft w:val="0"/>
                  <w:marRight w:val="0"/>
                  <w:marTop w:val="0"/>
                  <w:marBottom w:val="0"/>
                  <w:divBdr>
                    <w:top w:val="none" w:sz="0" w:space="0" w:color="auto"/>
                    <w:left w:val="none" w:sz="0" w:space="0" w:color="auto"/>
                    <w:bottom w:val="none" w:sz="0" w:space="0" w:color="auto"/>
                    <w:right w:val="none" w:sz="0" w:space="0" w:color="auto"/>
                  </w:divBdr>
                </w:div>
                <w:div w:id="1685671536">
                  <w:marLeft w:val="0"/>
                  <w:marRight w:val="0"/>
                  <w:marTop w:val="0"/>
                  <w:marBottom w:val="0"/>
                  <w:divBdr>
                    <w:top w:val="none" w:sz="0" w:space="0" w:color="auto"/>
                    <w:left w:val="none" w:sz="0" w:space="0" w:color="auto"/>
                    <w:bottom w:val="none" w:sz="0" w:space="0" w:color="auto"/>
                    <w:right w:val="none" w:sz="0" w:space="0" w:color="auto"/>
                  </w:divBdr>
                </w:div>
                <w:div w:id="79340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981965">
          <w:marLeft w:val="0"/>
          <w:marRight w:val="0"/>
          <w:marTop w:val="15"/>
          <w:marBottom w:val="0"/>
          <w:divBdr>
            <w:top w:val="none" w:sz="0" w:space="0" w:color="auto"/>
            <w:left w:val="none" w:sz="0" w:space="0" w:color="auto"/>
            <w:bottom w:val="none" w:sz="0" w:space="0" w:color="auto"/>
            <w:right w:val="none" w:sz="0" w:space="0" w:color="auto"/>
          </w:divBdr>
          <w:divsChild>
            <w:div w:id="86315415">
              <w:marLeft w:val="0"/>
              <w:marRight w:val="0"/>
              <w:marTop w:val="0"/>
              <w:marBottom w:val="0"/>
              <w:divBdr>
                <w:top w:val="none" w:sz="0" w:space="0" w:color="auto"/>
                <w:left w:val="none" w:sz="0" w:space="0" w:color="auto"/>
                <w:bottom w:val="none" w:sz="0" w:space="0" w:color="auto"/>
                <w:right w:val="none" w:sz="0" w:space="0" w:color="auto"/>
              </w:divBdr>
              <w:divsChild>
                <w:div w:id="315762454">
                  <w:marLeft w:val="0"/>
                  <w:marRight w:val="0"/>
                  <w:marTop w:val="0"/>
                  <w:marBottom w:val="0"/>
                  <w:divBdr>
                    <w:top w:val="none" w:sz="0" w:space="0" w:color="auto"/>
                    <w:left w:val="none" w:sz="0" w:space="0" w:color="auto"/>
                    <w:bottom w:val="none" w:sz="0" w:space="0" w:color="auto"/>
                    <w:right w:val="none" w:sz="0" w:space="0" w:color="auto"/>
                  </w:divBdr>
                </w:div>
                <w:div w:id="387803027">
                  <w:marLeft w:val="0"/>
                  <w:marRight w:val="0"/>
                  <w:marTop w:val="0"/>
                  <w:marBottom w:val="0"/>
                  <w:divBdr>
                    <w:top w:val="none" w:sz="0" w:space="0" w:color="auto"/>
                    <w:left w:val="none" w:sz="0" w:space="0" w:color="auto"/>
                    <w:bottom w:val="none" w:sz="0" w:space="0" w:color="auto"/>
                    <w:right w:val="none" w:sz="0" w:space="0" w:color="auto"/>
                  </w:divBdr>
                </w:div>
                <w:div w:id="159203540">
                  <w:marLeft w:val="0"/>
                  <w:marRight w:val="0"/>
                  <w:marTop w:val="0"/>
                  <w:marBottom w:val="0"/>
                  <w:divBdr>
                    <w:top w:val="none" w:sz="0" w:space="0" w:color="auto"/>
                    <w:left w:val="none" w:sz="0" w:space="0" w:color="auto"/>
                    <w:bottom w:val="none" w:sz="0" w:space="0" w:color="auto"/>
                    <w:right w:val="none" w:sz="0" w:space="0" w:color="auto"/>
                  </w:divBdr>
                </w:div>
                <w:div w:id="741879302">
                  <w:marLeft w:val="0"/>
                  <w:marRight w:val="0"/>
                  <w:marTop w:val="0"/>
                  <w:marBottom w:val="0"/>
                  <w:divBdr>
                    <w:top w:val="none" w:sz="0" w:space="0" w:color="auto"/>
                    <w:left w:val="none" w:sz="0" w:space="0" w:color="auto"/>
                    <w:bottom w:val="none" w:sz="0" w:space="0" w:color="auto"/>
                    <w:right w:val="none" w:sz="0" w:space="0" w:color="auto"/>
                  </w:divBdr>
                </w:div>
                <w:div w:id="935361533">
                  <w:marLeft w:val="0"/>
                  <w:marRight w:val="0"/>
                  <w:marTop w:val="0"/>
                  <w:marBottom w:val="0"/>
                  <w:divBdr>
                    <w:top w:val="none" w:sz="0" w:space="0" w:color="auto"/>
                    <w:left w:val="none" w:sz="0" w:space="0" w:color="auto"/>
                    <w:bottom w:val="none" w:sz="0" w:space="0" w:color="auto"/>
                    <w:right w:val="none" w:sz="0" w:space="0" w:color="auto"/>
                  </w:divBdr>
                </w:div>
                <w:div w:id="1262566805">
                  <w:marLeft w:val="0"/>
                  <w:marRight w:val="0"/>
                  <w:marTop w:val="0"/>
                  <w:marBottom w:val="0"/>
                  <w:divBdr>
                    <w:top w:val="none" w:sz="0" w:space="0" w:color="auto"/>
                    <w:left w:val="none" w:sz="0" w:space="0" w:color="auto"/>
                    <w:bottom w:val="none" w:sz="0" w:space="0" w:color="auto"/>
                    <w:right w:val="none" w:sz="0" w:space="0" w:color="auto"/>
                  </w:divBdr>
                </w:div>
                <w:div w:id="114253285">
                  <w:marLeft w:val="0"/>
                  <w:marRight w:val="0"/>
                  <w:marTop w:val="0"/>
                  <w:marBottom w:val="0"/>
                  <w:divBdr>
                    <w:top w:val="none" w:sz="0" w:space="0" w:color="auto"/>
                    <w:left w:val="none" w:sz="0" w:space="0" w:color="auto"/>
                    <w:bottom w:val="none" w:sz="0" w:space="0" w:color="auto"/>
                    <w:right w:val="none" w:sz="0" w:space="0" w:color="auto"/>
                  </w:divBdr>
                </w:div>
                <w:div w:id="1076777806">
                  <w:marLeft w:val="0"/>
                  <w:marRight w:val="0"/>
                  <w:marTop w:val="0"/>
                  <w:marBottom w:val="0"/>
                  <w:divBdr>
                    <w:top w:val="none" w:sz="0" w:space="0" w:color="auto"/>
                    <w:left w:val="none" w:sz="0" w:space="0" w:color="auto"/>
                    <w:bottom w:val="none" w:sz="0" w:space="0" w:color="auto"/>
                    <w:right w:val="none" w:sz="0" w:space="0" w:color="auto"/>
                  </w:divBdr>
                </w:div>
                <w:div w:id="139538171">
                  <w:marLeft w:val="0"/>
                  <w:marRight w:val="0"/>
                  <w:marTop w:val="0"/>
                  <w:marBottom w:val="0"/>
                  <w:divBdr>
                    <w:top w:val="none" w:sz="0" w:space="0" w:color="auto"/>
                    <w:left w:val="none" w:sz="0" w:space="0" w:color="auto"/>
                    <w:bottom w:val="none" w:sz="0" w:space="0" w:color="auto"/>
                    <w:right w:val="none" w:sz="0" w:space="0" w:color="auto"/>
                  </w:divBdr>
                </w:div>
                <w:div w:id="1764178128">
                  <w:marLeft w:val="0"/>
                  <w:marRight w:val="0"/>
                  <w:marTop w:val="0"/>
                  <w:marBottom w:val="0"/>
                  <w:divBdr>
                    <w:top w:val="none" w:sz="0" w:space="0" w:color="auto"/>
                    <w:left w:val="none" w:sz="0" w:space="0" w:color="auto"/>
                    <w:bottom w:val="none" w:sz="0" w:space="0" w:color="auto"/>
                    <w:right w:val="none" w:sz="0" w:space="0" w:color="auto"/>
                  </w:divBdr>
                </w:div>
                <w:div w:id="379325849">
                  <w:marLeft w:val="0"/>
                  <w:marRight w:val="0"/>
                  <w:marTop w:val="0"/>
                  <w:marBottom w:val="0"/>
                  <w:divBdr>
                    <w:top w:val="none" w:sz="0" w:space="0" w:color="auto"/>
                    <w:left w:val="none" w:sz="0" w:space="0" w:color="auto"/>
                    <w:bottom w:val="none" w:sz="0" w:space="0" w:color="auto"/>
                    <w:right w:val="none" w:sz="0" w:space="0" w:color="auto"/>
                  </w:divBdr>
                </w:div>
                <w:div w:id="559294820">
                  <w:marLeft w:val="0"/>
                  <w:marRight w:val="0"/>
                  <w:marTop w:val="0"/>
                  <w:marBottom w:val="0"/>
                  <w:divBdr>
                    <w:top w:val="none" w:sz="0" w:space="0" w:color="auto"/>
                    <w:left w:val="none" w:sz="0" w:space="0" w:color="auto"/>
                    <w:bottom w:val="none" w:sz="0" w:space="0" w:color="auto"/>
                    <w:right w:val="none" w:sz="0" w:space="0" w:color="auto"/>
                  </w:divBdr>
                </w:div>
                <w:div w:id="1889221606">
                  <w:marLeft w:val="0"/>
                  <w:marRight w:val="0"/>
                  <w:marTop w:val="0"/>
                  <w:marBottom w:val="0"/>
                  <w:divBdr>
                    <w:top w:val="none" w:sz="0" w:space="0" w:color="auto"/>
                    <w:left w:val="none" w:sz="0" w:space="0" w:color="auto"/>
                    <w:bottom w:val="none" w:sz="0" w:space="0" w:color="auto"/>
                    <w:right w:val="none" w:sz="0" w:space="0" w:color="auto"/>
                  </w:divBdr>
                </w:div>
                <w:div w:id="1971010832">
                  <w:marLeft w:val="0"/>
                  <w:marRight w:val="0"/>
                  <w:marTop w:val="0"/>
                  <w:marBottom w:val="0"/>
                  <w:divBdr>
                    <w:top w:val="none" w:sz="0" w:space="0" w:color="auto"/>
                    <w:left w:val="none" w:sz="0" w:space="0" w:color="auto"/>
                    <w:bottom w:val="none" w:sz="0" w:space="0" w:color="auto"/>
                    <w:right w:val="none" w:sz="0" w:space="0" w:color="auto"/>
                  </w:divBdr>
                </w:div>
                <w:div w:id="598102228">
                  <w:marLeft w:val="0"/>
                  <w:marRight w:val="0"/>
                  <w:marTop w:val="0"/>
                  <w:marBottom w:val="0"/>
                  <w:divBdr>
                    <w:top w:val="none" w:sz="0" w:space="0" w:color="auto"/>
                    <w:left w:val="none" w:sz="0" w:space="0" w:color="auto"/>
                    <w:bottom w:val="none" w:sz="0" w:space="0" w:color="auto"/>
                    <w:right w:val="none" w:sz="0" w:space="0" w:color="auto"/>
                  </w:divBdr>
                </w:div>
                <w:div w:id="1751660016">
                  <w:marLeft w:val="0"/>
                  <w:marRight w:val="0"/>
                  <w:marTop w:val="0"/>
                  <w:marBottom w:val="0"/>
                  <w:divBdr>
                    <w:top w:val="none" w:sz="0" w:space="0" w:color="auto"/>
                    <w:left w:val="none" w:sz="0" w:space="0" w:color="auto"/>
                    <w:bottom w:val="none" w:sz="0" w:space="0" w:color="auto"/>
                    <w:right w:val="none" w:sz="0" w:space="0" w:color="auto"/>
                  </w:divBdr>
                </w:div>
                <w:div w:id="1261644021">
                  <w:marLeft w:val="0"/>
                  <w:marRight w:val="0"/>
                  <w:marTop w:val="0"/>
                  <w:marBottom w:val="0"/>
                  <w:divBdr>
                    <w:top w:val="none" w:sz="0" w:space="0" w:color="auto"/>
                    <w:left w:val="none" w:sz="0" w:space="0" w:color="auto"/>
                    <w:bottom w:val="none" w:sz="0" w:space="0" w:color="auto"/>
                    <w:right w:val="none" w:sz="0" w:space="0" w:color="auto"/>
                  </w:divBdr>
                </w:div>
                <w:div w:id="138506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371808">
      <w:bodyDiv w:val="1"/>
      <w:marLeft w:val="0"/>
      <w:marRight w:val="0"/>
      <w:marTop w:val="0"/>
      <w:marBottom w:val="0"/>
      <w:divBdr>
        <w:top w:val="none" w:sz="0" w:space="0" w:color="auto"/>
        <w:left w:val="none" w:sz="0" w:space="0" w:color="auto"/>
        <w:bottom w:val="none" w:sz="0" w:space="0" w:color="auto"/>
        <w:right w:val="none" w:sz="0" w:space="0" w:color="auto"/>
      </w:divBdr>
    </w:div>
    <w:div w:id="925073245">
      <w:bodyDiv w:val="1"/>
      <w:marLeft w:val="0"/>
      <w:marRight w:val="0"/>
      <w:marTop w:val="0"/>
      <w:marBottom w:val="0"/>
      <w:divBdr>
        <w:top w:val="none" w:sz="0" w:space="0" w:color="auto"/>
        <w:left w:val="none" w:sz="0" w:space="0" w:color="auto"/>
        <w:bottom w:val="none" w:sz="0" w:space="0" w:color="auto"/>
        <w:right w:val="none" w:sz="0" w:space="0" w:color="auto"/>
      </w:divBdr>
    </w:div>
    <w:div w:id="927540038">
      <w:bodyDiv w:val="1"/>
      <w:marLeft w:val="0"/>
      <w:marRight w:val="0"/>
      <w:marTop w:val="0"/>
      <w:marBottom w:val="0"/>
      <w:divBdr>
        <w:top w:val="none" w:sz="0" w:space="0" w:color="auto"/>
        <w:left w:val="none" w:sz="0" w:space="0" w:color="auto"/>
        <w:bottom w:val="none" w:sz="0" w:space="0" w:color="auto"/>
        <w:right w:val="none" w:sz="0" w:space="0" w:color="auto"/>
      </w:divBdr>
    </w:div>
    <w:div w:id="934289399">
      <w:bodyDiv w:val="1"/>
      <w:marLeft w:val="0"/>
      <w:marRight w:val="0"/>
      <w:marTop w:val="0"/>
      <w:marBottom w:val="0"/>
      <w:divBdr>
        <w:top w:val="none" w:sz="0" w:space="0" w:color="auto"/>
        <w:left w:val="none" w:sz="0" w:space="0" w:color="auto"/>
        <w:bottom w:val="none" w:sz="0" w:space="0" w:color="auto"/>
        <w:right w:val="none" w:sz="0" w:space="0" w:color="auto"/>
      </w:divBdr>
    </w:div>
    <w:div w:id="934436329">
      <w:bodyDiv w:val="1"/>
      <w:marLeft w:val="0"/>
      <w:marRight w:val="0"/>
      <w:marTop w:val="0"/>
      <w:marBottom w:val="0"/>
      <w:divBdr>
        <w:top w:val="none" w:sz="0" w:space="0" w:color="auto"/>
        <w:left w:val="none" w:sz="0" w:space="0" w:color="auto"/>
        <w:bottom w:val="none" w:sz="0" w:space="0" w:color="auto"/>
        <w:right w:val="none" w:sz="0" w:space="0" w:color="auto"/>
      </w:divBdr>
    </w:div>
    <w:div w:id="935017892">
      <w:bodyDiv w:val="1"/>
      <w:marLeft w:val="0"/>
      <w:marRight w:val="0"/>
      <w:marTop w:val="0"/>
      <w:marBottom w:val="0"/>
      <w:divBdr>
        <w:top w:val="none" w:sz="0" w:space="0" w:color="auto"/>
        <w:left w:val="none" w:sz="0" w:space="0" w:color="auto"/>
        <w:bottom w:val="none" w:sz="0" w:space="0" w:color="auto"/>
        <w:right w:val="none" w:sz="0" w:space="0" w:color="auto"/>
      </w:divBdr>
    </w:div>
    <w:div w:id="937296436">
      <w:bodyDiv w:val="1"/>
      <w:marLeft w:val="0"/>
      <w:marRight w:val="0"/>
      <w:marTop w:val="0"/>
      <w:marBottom w:val="0"/>
      <w:divBdr>
        <w:top w:val="none" w:sz="0" w:space="0" w:color="auto"/>
        <w:left w:val="none" w:sz="0" w:space="0" w:color="auto"/>
        <w:bottom w:val="none" w:sz="0" w:space="0" w:color="auto"/>
        <w:right w:val="none" w:sz="0" w:space="0" w:color="auto"/>
      </w:divBdr>
    </w:div>
    <w:div w:id="938147951">
      <w:bodyDiv w:val="1"/>
      <w:marLeft w:val="0"/>
      <w:marRight w:val="0"/>
      <w:marTop w:val="0"/>
      <w:marBottom w:val="0"/>
      <w:divBdr>
        <w:top w:val="none" w:sz="0" w:space="0" w:color="auto"/>
        <w:left w:val="none" w:sz="0" w:space="0" w:color="auto"/>
        <w:bottom w:val="none" w:sz="0" w:space="0" w:color="auto"/>
        <w:right w:val="none" w:sz="0" w:space="0" w:color="auto"/>
      </w:divBdr>
    </w:div>
    <w:div w:id="939412864">
      <w:bodyDiv w:val="1"/>
      <w:marLeft w:val="0"/>
      <w:marRight w:val="0"/>
      <w:marTop w:val="0"/>
      <w:marBottom w:val="0"/>
      <w:divBdr>
        <w:top w:val="none" w:sz="0" w:space="0" w:color="auto"/>
        <w:left w:val="none" w:sz="0" w:space="0" w:color="auto"/>
        <w:bottom w:val="none" w:sz="0" w:space="0" w:color="auto"/>
        <w:right w:val="none" w:sz="0" w:space="0" w:color="auto"/>
      </w:divBdr>
    </w:div>
    <w:div w:id="941493521">
      <w:bodyDiv w:val="1"/>
      <w:marLeft w:val="0"/>
      <w:marRight w:val="0"/>
      <w:marTop w:val="0"/>
      <w:marBottom w:val="0"/>
      <w:divBdr>
        <w:top w:val="none" w:sz="0" w:space="0" w:color="auto"/>
        <w:left w:val="none" w:sz="0" w:space="0" w:color="auto"/>
        <w:bottom w:val="none" w:sz="0" w:space="0" w:color="auto"/>
        <w:right w:val="none" w:sz="0" w:space="0" w:color="auto"/>
      </w:divBdr>
      <w:divsChild>
        <w:div w:id="1332441888">
          <w:marLeft w:val="0"/>
          <w:marRight w:val="0"/>
          <w:marTop w:val="0"/>
          <w:marBottom w:val="0"/>
          <w:divBdr>
            <w:top w:val="none" w:sz="0" w:space="0" w:color="auto"/>
            <w:left w:val="none" w:sz="0" w:space="0" w:color="auto"/>
            <w:bottom w:val="none" w:sz="0" w:space="0" w:color="auto"/>
            <w:right w:val="none" w:sz="0" w:space="0" w:color="auto"/>
          </w:divBdr>
        </w:div>
      </w:divsChild>
    </w:div>
    <w:div w:id="941570607">
      <w:bodyDiv w:val="1"/>
      <w:marLeft w:val="0"/>
      <w:marRight w:val="0"/>
      <w:marTop w:val="0"/>
      <w:marBottom w:val="0"/>
      <w:divBdr>
        <w:top w:val="none" w:sz="0" w:space="0" w:color="auto"/>
        <w:left w:val="none" w:sz="0" w:space="0" w:color="auto"/>
        <w:bottom w:val="none" w:sz="0" w:space="0" w:color="auto"/>
        <w:right w:val="none" w:sz="0" w:space="0" w:color="auto"/>
      </w:divBdr>
    </w:div>
    <w:div w:id="941759722">
      <w:bodyDiv w:val="1"/>
      <w:marLeft w:val="0"/>
      <w:marRight w:val="0"/>
      <w:marTop w:val="0"/>
      <w:marBottom w:val="0"/>
      <w:divBdr>
        <w:top w:val="none" w:sz="0" w:space="0" w:color="auto"/>
        <w:left w:val="none" w:sz="0" w:space="0" w:color="auto"/>
        <w:bottom w:val="none" w:sz="0" w:space="0" w:color="auto"/>
        <w:right w:val="none" w:sz="0" w:space="0" w:color="auto"/>
      </w:divBdr>
    </w:div>
    <w:div w:id="946035886">
      <w:bodyDiv w:val="1"/>
      <w:marLeft w:val="0"/>
      <w:marRight w:val="0"/>
      <w:marTop w:val="0"/>
      <w:marBottom w:val="0"/>
      <w:divBdr>
        <w:top w:val="none" w:sz="0" w:space="0" w:color="auto"/>
        <w:left w:val="none" w:sz="0" w:space="0" w:color="auto"/>
        <w:bottom w:val="none" w:sz="0" w:space="0" w:color="auto"/>
        <w:right w:val="none" w:sz="0" w:space="0" w:color="auto"/>
      </w:divBdr>
    </w:div>
    <w:div w:id="954940637">
      <w:bodyDiv w:val="1"/>
      <w:marLeft w:val="0"/>
      <w:marRight w:val="0"/>
      <w:marTop w:val="0"/>
      <w:marBottom w:val="0"/>
      <w:divBdr>
        <w:top w:val="none" w:sz="0" w:space="0" w:color="auto"/>
        <w:left w:val="none" w:sz="0" w:space="0" w:color="auto"/>
        <w:bottom w:val="none" w:sz="0" w:space="0" w:color="auto"/>
        <w:right w:val="none" w:sz="0" w:space="0" w:color="auto"/>
      </w:divBdr>
    </w:div>
    <w:div w:id="956327583">
      <w:bodyDiv w:val="1"/>
      <w:marLeft w:val="0"/>
      <w:marRight w:val="0"/>
      <w:marTop w:val="0"/>
      <w:marBottom w:val="0"/>
      <w:divBdr>
        <w:top w:val="none" w:sz="0" w:space="0" w:color="auto"/>
        <w:left w:val="none" w:sz="0" w:space="0" w:color="auto"/>
        <w:bottom w:val="none" w:sz="0" w:space="0" w:color="auto"/>
        <w:right w:val="none" w:sz="0" w:space="0" w:color="auto"/>
      </w:divBdr>
      <w:divsChild>
        <w:div w:id="916594495">
          <w:marLeft w:val="0"/>
          <w:marRight w:val="0"/>
          <w:marTop w:val="0"/>
          <w:marBottom w:val="0"/>
          <w:divBdr>
            <w:top w:val="none" w:sz="0" w:space="0" w:color="auto"/>
            <w:left w:val="none" w:sz="0" w:space="0" w:color="auto"/>
            <w:bottom w:val="none" w:sz="0" w:space="0" w:color="auto"/>
            <w:right w:val="none" w:sz="0" w:space="0" w:color="auto"/>
          </w:divBdr>
        </w:div>
      </w:divsChild>
    </w:div>
    <w:div w:id="957758608">
      <w:bodyDiv w:val="1"/>
      <w:marLeft w:val="0"/>
      <w:marRight w:val="0"/>
      <w:marTop w:val="0"/>
      <w:marBottom w:val="0"/>
      <w:divBdr>
        <w:top w:val="none" w:sz="0" w:space="0" w:color="auto"/>
        <w:left w:val="none" w:sz="0" w:space="0" w:color="auto"/>
        <w:bottom w:val="none" w:sz="0" w:space="0" w:color="auto"/>
        <w:right w:val="none" w:sz="0" w:space="0" w:color="auto"/>
      </w:divBdr>
    </w:div>
    <w:div w:id="960497286">
      <w:bodyDiv w:val="1"/>
      <w:marLeft w:val="0"/>
      <w:marRight w:val="0"/>
      <w:marTop w:val="0"/>
      <w:marBottom w:val="0"/>
      <w:divBdr>
        <w:top w:val="none" w:sz="0" w:space="0" w:color="auto"/>
        <w:left w:val="none" w:sz="0" w:space="0" w:color="auto"/>
        <w:bottom w:val="none" w:sz="0" w:space="0" w:color="auto"/>
        <w:right w:val="none" w:sz="0" w:space="0" w:color="auto"/>
      </w:divBdr>
    </w:div>
    <w:div w:id="960847013">
      <w:bodyDiv w:val="1"/>
      <w:marLeft w:val="0"/>
      <w:marRight w:val="0"/>
      <w:marTop w:val="0"/>
      <w:marBottom w:val="0"/>
      <w:divBdr>
        <w:top w:val="none" w:sz="0" w:space="0" w:color="auto"/>
        <w:left w:val="none" w:sz="0" w:space="0" w:color="auto"/>
        <w:bottom w:val="none" w:sz="0" w:space="0" w:color="auto"/>
        <w:right w:val="none" w:sz="0" w:space="0" w:color="auto"/>
      </w:divBdr>
    </w:div>
    <w:div w:id="961152878">
      <w:bodyDiv w:val="1"/>
      <w:marLeft w:val="0"/>
      <w:marRight w:val="0"/>
      <w:marTop w:val="0"/>
      <w:marBottom w:val="0"/>
      <w:divBdr>
        <w:top w:val="none" w:sz="0" w:space="0" w:color="auto"/>
        <w:left w:val="none" w:sz="0" w:space="0" w:color="auto"/>
        <w:bottom w:val="none" w:sz="0" w:space="0" w:color="auto"/>
        <w:right w:val="none" w:sz="0" w:space="0" w:color="auto"/>
      </w:divBdr>
    </w:div>
    <w:div w:id="971444358">
      <w:bodyDiv w:val="1"/>
      <w:marLeft w:val="0"/>
      <w:marRight w:val="0"/>
      <w:marTop w:val="0"/>
      <w:marBottom w:val="0"/>
      <w:divBdr>
        <w:top w:val="none" w:sz="0" w:space="0" w:color="auto"/>
        <w:left w:val="none" w:sz="0" w:space="0" w:color="auto"/>
        <w:bottom w:val="none" w:sz="0" w:space="0" w:color="auto"/>
        <w:right w:val="none" w:sz="0" w:space="0" w:color="auto"/>
      </w:divBdr>
    </w:div>
    <w:div w:id="974945536">
      <w:bodyDiv w:val="1"/>
      <w:marLeft w:val="0"/>
      <w:marRight w:val="0"/>
      <w:marTop w:val="0"/>
      <w:marBottom w:val="0"/>
      <w:divBdr>
        <w:top w:val="none" w:sz="0" w:space="0" w:color="auto"/>
        <w:left w:val="none" w:sz="0" w:space="0" w:color="auto"/>
        <w:bottom w:val="none" w:sz="0" w:space="0" w:color="auto"/>
        <w:right w:val="none" w:sz="0" w:space="0" w:color="auto"/>
      </w:divBdr>
    </w:div>
    <w:div w:id="981811464">
      <w:bodyDiv w:val="1"/>
      <w:marLeft w:val="0"/>
      <w:marRight w:val="0"/>
      <w:marTop w:val="0"/>
      <w:marBottom w:val="0"/>
      <w:divBdr>
        <w:top w:val="none" w:sz="0" w:space="0" w:color="auto"/>
        <w:left w:val="none" w:sz="0" w:space="0" w:color="auto"/>
        <w:bottom w:val="none" w:sz="0" w:space="0" w:color="auto"/>
        <w:right w:val="none" w:sz="0" w:space="0" w:color="auto"/>
      </w:divBdr>
    </w:div>
    <w:div w:id="985744426">
      <w:bodyDiv w:val="1"/>
      <w:marLeft w:val="0"/>
      <w:marRight w:val="0"/>
      <w:marTop w:val="0"/>
      <w:marBottom w:val="0"/>
      <w:divBdr>
        <w:top w:val="none" w:sz="0" w:space="0" w:color="auto"/>
        <w:left w:val="none" w:sz="0" w:space="0" w:color="auto"/>
        <w:bottom w:val="none" w:sz="0" w:space="0" w:color="auto"/>
        <w:right w:val="none" w:sz="0" w:space="0" w:color="auto"/>
      </w:divBdr>
    </w:div>
    <w:div w:id="986206602">
      <w:bodyDiv w:val="1"/>
      <w:marLeft w:val="0"/>
      <w:marRight w:val="0"/>
      <w:marTop w:val="0"/>
      <w:marBottom w:val="0"/>
      <w:divBdr>
        <w:top w:val="none" w:sz="0" w:space="0" w:color="auto"/>
        <w:left w:val="none" w:sz="0" w:space="0" w:color="auto"/>
        <w:bottom w:val="none" w:sz="0" w:space="0" w:color="auto"/>
        <w:right w:val="none" w:sz="0" w:space="0" w:color="auto"/>
      </w:divBdr>
    </w:div>
    <w:div w:id="989791511">
      <w:bodyDiv w:val="1"/>
      <w:marLeft w:val="0"/>
      <w:marRight w:val="0"/>
      <w:marTop w:val="0"/>
      <w:marBottom w:val="0"/>
      <w:divBdr>
        <w:top w:val="none" w:sz="0" w:space="0" w:color="auto"/>
        <w:left w:val="none" w:sz="0" w:space="0" w:color="auto"/>
        <w:bottom w:val="none" w:sz="0" w:space="0" w:color="auto"/>
        <w:right w:val="none" w:sz="0" w:space="0" w:color="auto"/>
      </w:divBdr>
    </w:div>
    <w:div w:id="994146794">
      <w:bodyDiv w:val="1"/>
      <w:marLeft w:val="0"/>
      <w:marRight w:val="0"/>
      <w:marTop w:val="0"/>
      <w:marBottom w:val="0"/>
      <w:divBdr>
        <w:top w:val="none" w:sz="0" w:space="0" w:color="auto"/>
        <w:left w:val="none" w:sz="0" w:space="0" w:color="auto"/>
        <w:bottom w:val="none" w:sz="0" w:space="0" w:color="auto"/>
        <w:right w:val="none" w:sz="0" w:space="0" w:color="auto"/>
      </w:divBdr>
    </w:div>
    <w:div w:id="1002664294">
      <w:bodyDiv w:val="1"/>
      <w:marLeft w:val="0"/>
      <w:marRight w:val="0"/>
      <w:marTop w:val="0"/>
      <w:marBottom w:val="0"/>
      <w:divBdr>
        <w:top w:val="none" w:sz="0" w:space="0" w:color="auto"/>
        <w:left w:val="none" w:sz="0" w:space="0" w:color="auto"/>
        <w:bottom w:val="none" w:sz="0" w:space="0" w:color="auto"/>
        <w:right w:val="none" w:sz="0" w:space="0" w:color="auto"/>
      </w:divBdr>
    </w:div>
    <w:div w:id="1004237633">
      <w:bodyDiv w:val="1"/>
      <w:marLeft w:val="0"/>
      <w:marRight w:val="0"/>
      <w:marTop w:val="0"/>
      <w:marBottom w:val="0"/>
      <w:divBdr>
        <w:top w:val="none" w:sz="0" w:space="0" w:color="auto"/>
        <w:left w:val="none" w:sz="0" w:space="0" w:color="auto"/>
        <w:bottom w:val="none" w:sz="0" w:space="0" w:color="auto"/>
        <w:right w:val="none" w:sz="0" w:space="0" w:color="auto"/>
      </w:divBdr>
    </w:div>
    <w:div w:id="1007055961">
      <w:bodyDiv w:val="1"/>
      <w:marLeft w:val="0"/>
      <w:marRight w:val="0"/>
      <w:marTop w:val="0"/>
      <w:marBottom w:val="0"/>
      <w:divBdr>
        <w:top w:val="none" w:sz="0" w:space="0" w:color="auto"/>
        <w:left w:val="none" w:sz="0" w:space="0" w:color="auto"/>
        <w:bottom w:val="none" w:sz="0" w:space="0" w:color="auto"/>
        <w:right w:val="none" w:sz="0" w:space="0" w:color="auto"/>
      </w:divBdr>
    </w:div>
    <w:div w:id="1015958542">
      <w:bodyDiv w:val="1"/>
      <w:marLeft w:val="0"/>
      <w:marRight w:val="0"/>
      <w:marTop w:val="0"/>
      <w:marBottom w:val="0"/>
      <w:divBdr>
        <w:top w:val="none" w:sz="0" w:space="0" w:color="auto"/>
        <w:left w:val="none" w:sz="0" w:space="0" w:color="auto"/>
        <w:bottom w:val="none" w:sz="0" w:space="0" w:color="auto"/>
        <w:right w:val="none" w:sz="0" w:space="0" w:color="auto"/>
      </w:divBdr>
    </w:div>
    <w:div w:id="1017196046">
      <w:bodyDiv w:val="1"/>
      <w:marLeft w:val="0"/>
      <w:marRight w:val="0"/>
      <w:marTop w:val="0"/>
      <w:marBottom w:val="0"/>
      <w:divBdr>
        <w:top w:val="none" w:sz="0" w:space="0" w:color="auto"/>
        <w:left w:val="none" w:sz="0" w:space="0" w:color="auto"/>
        <w:bottom w:val="none" w:sz="0" w:space="0" w:color="auto"/>
        <w:right w:val="none" w:sz="0" w:space="0" w:color="auto"/>
      </w:divBdr>
    </w:div>
    <w:div w:id="1018700594">
      <w:bodyDiv w:val="1"/>
      <w:marLeft w:val="0"/>
      <w:marRight w:val="0"/>
      <w:marTop w:val="0"/>
      <w:marBottom w:val="0"/>
      <w:divBdr>
        <w:top w:val="none" w:sz="0" w:space="0" w:color="auto"/>
        <w:left w:val="none" w:sz="0" w:space="0" w:color="auto"/>
        <w:bottom w:val="none" w:sz="0" w:space="0" w:color="auto"/>
        <w:right w:val="none" w:sz="0" w:space="0" w:color="auto"/>
      </w:divBdr>
    </w:div>
    <w:div w:id="1021054809">
      <w:bodyDiv w:val="1"/>
      <w:marLeft w:val="0"/>
      <w:marRight w:val="0"/>
      <w:marTop w:val="0"/>
      <w:marBottom w:val="0"/>
      <w:divBdr>
        <w:top w:val="none" w:sz="0" w:space="0" w:color="auto"/>
        <w:left w:val="none" w:sz="0" w:space="0" w:color="auto"/>
        <w:bottom w:val="none" w:sz="0" w:space="0" w:color="auto"/>
        <w:right w:val="none" w:sz="0" w:space="0" w:color="auto"/>
      </w:divBdr>
    </w:div>
    <w:div w:id="1025054272">
      <w:bodyDiv w:val="1"/>
      <w:marLeft w:val="0"/>
      <w:marRight w:val="0"/>
      <w:marTop w:val="0"/>
      <w:marBottom w:val="0"/>
      <w:divBdr>
        <w:top w:val="none" w:sz="0" w:space="0" w:color="auto"/>
        <w:left w:val="none" w:sz="0" w:space="0" w:color="auto"/>
        <w:bottom w:val="none" w:sz="0" w:space="0" w:color="auto"/>
        <w:right w:val="none" w:sz="0" w:space="0" w:color="auto"/>
      </w:divBdr>
    </w:div>
    <w:div w:id="1027100579">
      <w:bodyDiv w:val="1"/>
      <w:marLeft w:val="0"/>
      <w:marRight w:val="0"/>
      <w:marTop w:val="0"/>
      <w:marBottom w:val="0"/>
      <w:divBdr>
        <w:top w:val="none" w:sz="0" w:space="0" w:color="auto"/>
        <w:left w:val="none" w:sz="0" w:space="0" w:color="auto"/>
        <w:bottom w:val="none" w:sz="0" w:space="0" w:color="auto"/>
        <w:right w:val="none" w:sz="0" w:space="0" w:color="auto"/>
      </w:divBdr>
    </w:div>
    <w:div w:id="1028873105">
      <w:bodyDiv w:val="1"/>
      <w:marLeft w:val="0"/>
      <w:marRight w:val="0"/>
      <w:marTop w:val="0"/>
      <w:marBottom w:val="0"/>
      <w:divBdr>
        <w:top w:val="none" w:sz="0" w:space="0" w:color="auto"/>
        <w:left w:val="none" w:sz="0" w:space="0" w:color="auto"/>
        <w:bottom w:val="none" w:sz="0" w:space="0" w:color="auto"/>
        <w:right w:val="none" w:sz="0" w:space="0" w:color="auto"/>
      </w:divBdr>
    </w:div>
    <w:div w:id="1030183786">
      <w:bodyDiv w:val="1"/>
      <w:marLeft w:val="0"/>
      <w:marRight w:val="0"/>
      <w:marTop w:val="0"/>
      <w:marBottom w:val="0"/>
      <w:divBdr>
        <w:top w:val="none" w:sz="0" w:space="0" w:color="auto"/>
        <w:left w:val="none" w:sz="0" w:space="0" w:color="auto"/>
        <w:bottom w:val="none" w:sz="0" w:space="0" w:color="auto"/>
        <w:right w:val="none" w:sz="0" w:space="0" w:color="auto"/>
      </w:divBdr>
    </w:div>
    <w:div w:id="1034691123">
      <w:bodyDiv w:val="1"/>
      <w:marLeft w:val="0"/>
      <w:marRight w:val="0"/>
      <w:marTop w:val="0"/>
      <w:marBottom w:val="0"/>
      <w:divBdr>
        <w:top w:val="none" w:sz="0" w:space="0" w:color="auto"/>
        <w:left w:val="none" w:sz="0" w:space="0" w:color="auto"/>
        <w:bottom w:val="none" w:sz="0" w:space="0" w:color="auto"/>
        <w:right w:val="none" w:sz="0" w:space="0" w:color="auto"/>
      </w:divBdr>
    </w:div>
    <w:div w:id="1038360477">
      <w:bodyDiv w:val="1"/>
      <w:marLeft w:val="0"/>
      <w:marRight w:val="0"/>
      <w:marTop w:val="0"/>
      <w:marBottom w:val="0"/>
      <w:divBdr>
        <w:top w:val="none" w:sz="0" w:space="0" w:color="auto"/>
        <w:left w:val="none" w:sz="0" w:space="0" w:color="auto"/>
        <w:bottom w:val="none" w:sz="0" w:space="0" w:color="auto"/>
        <w:right w:val="none" w:sz="0" w:space="0" w:color="auto"/>
      </w:divBdr>
    </w:div>
    <w:div w:id="1038890733">
      <w:bodyDiv w:val="1"/>
      <w:marLeft w:val="0"/>
      <w:marRight w:val="0"/>
      <w:marTop w:val="0"/>
      <w:marBottom w:val="0"/>
      <w:divBdr>
        <w:top w:val="none" w:sz="0" w:space="0" w:color="auto"/>
        <w:left w:val="none" w:sz="0" w:space="0" w:color="auto"/>
        <w:bottom w:val="none" w:sz="0" w:space="0" w:color="auto"/>
        <w:right w:val="none" w:sz="0" w:space="0" w:color="auto"/>
      </w:divBdr>
    </w:div>
    <w:div w:id="1040668632">
      <w:bodyDiv w:val="1"/>
      <w:marLeft w:val="0"/>
      <w:marRight w:val="0"/>
      <w:marTop w:val="0"/>
      <w:marBottom w:val="0"/>
      <w:divBdr>
        <w:top w:val="none" w:sz="0" w:space="0" w:color="auto"/>
        <w:left w:val="none" w:sz="0" w:space="0" w:color="auto"/>
        <w:bottom w:val="none" w:sz="0" w:space="0" w:color="auto"/>
        <w:right w:val="none" w:sz="0" w:space="0" w:color="auto"/>
      </w:divBdr>
    </w:div>
    <w:div w:id="1045257012">
      <w:bodyDiv w:val="1"/>
      <w:marLeft w:val="0"/>
      <w:marRight w:val="0"/>
      <w:marTop w:val="0"/>
      <w:marBottom w:val="0"/>
      <w:divBdr>
        <w:top w:val="none" w:sz="0" w:space="0" w:color="auto"/>
        <w:left w:val="none" w:sz="0" w:space="0" w:color="auto"/>
        <w:bottom w:val="none" w:sz="0" w:space="0" w:color="auto"/>
        <w:right w:val="none" w:sz="0" w:space="0" w:color="auto"/>
      </w:divBdr>
    </w:div>
    <w:div w:id="1045373253">
      <w:bodyDiv w:val="1"/>
      <w:marLeft w:val="0"/>
      <w:marRight w:val="0"/>
      <w:marTop w:val="0"/>
      <w:marBottom w:val="0"/>
      <w:divBdr>
        <w:top w:val="none" w:sz="0" w:space="0" w:color="auto"/>
        <w:left w:val="none" w:sz="0" w:space="0" w:color="auto"/>
        <w:bottom w:val="none" w:sz="0" w:space="0" w:color="auto"/>
        <w:right w:val="none" w:sz="0" w:space="0" w:color="auto"/>
      </w:divBdr>
    </w:div>
    <w:div w:id="1046372251">
      <w:bodyDiv w:val="1"/>
      <w:marLeft w:val="0"/>
      <w:marRight w:val="0"/>
      <w:marTop w:val="0"/>
      <w:marBottom w:val="0"/>
      <w:divBdr>
        <w:top w:val="none" w:sz="0" w:space="0" w:color="auto"/>
        <w:left w:val="none" w:sz="0" w:space="0" w:color="auto"/>
        <w:bottom w:val="none" w:sz="0" w:space="0" w:color="auto"/>
        <w:right w:val="none" w:sz="0" w:space="0" w:color="auto"/>
      </w:divBdr>
    </w:div>
    <w:div w:id="1046444773">
      <w:bodyDiv w:val="1"/>
      <w:marLeft w:val="0"/>
      <w:marRight w:val="0"/>
      <w:marTop w:val="0"/>
      <w:marBottom w:val="0"/>
      <w:divBdr>
        <w:top w:val="none" w:sz="0" w:space="0" w:color="auto"/>
        <w:left w:val="none" w:sz="0" w:space="0" w:color="auto"/>
        <w:bottom w:val="none" w:sz="0" w:space="0" w:color="auto"/>
        <w:right w:val="none" w:sz="0" w:space="0" w:color="auto"/>
      </w:divBdr>
    </w:div>
    <w:div w:id="1047801778">
      <w:bodyDiv w:val="1"/>
      <w:marLeft w:val="0"/>
      <w:marRight w:val="0"/>
      <w:marTop w:val="0"/>
      <w:marBottom w:val="0"/>
      <w:divBdr>
        <w:top w:val="none" w:sz="0" w:space="0" w:color="auto"/>
        <w:left w:val="none" w:sz="0" w:space="0" w:color="auto"/>
        <w:bottom w:val="none" w:sz="0" w:space="0" w:color="auto"/>
        <w:right w:val="none" w:sz="0" w:space="0" w:color="auto"/>
      </w:divBdr>
    </w:div>
    <w:div w:id="1052540453">
      <w:bodyDiv w:val="1"/>
      <w:marLeft w:val="0"/>
      <w:marRight w:val="0"/>
      <w:marTop w:val="0"/>
      <w:marBottom w:val="0"/>
      <w:divBdr>
        <w:top w:val="none" w:sz="0" w:space="0" w:color="auto"/>
        <w:left w:val="none" w:sz="0" w:space="0" w:color="auto"/>
        <w:bottom w:val="none" w:sz="0" w:space="0" w:color="auto"/>
        <w:right w:val="none" w:sz="0" w:space="0" w:color="auto"/>
      </w:divBdr>
      <w:divsChild>
        <w:div w:id="286620115">
          <w:marLeft w:val="0"/>
          <w:marRight w:val="0"/>
          <w:marTop w:val="0"/>
          <w:marBottom w:val="0"/>
          <w:divBdr>
            <w:top w:val="none" w:sz="0" w:space="0" w:color="auto"/>
            <w:left w:val="none" w:sz="0" w:space="0" w:color="auto"/>
            <w:bottom w:val="none" w:sz="0" w:space="0" w:color="auto"/>
            <w:right w:val="none" w:sz="0" w:space="0" w:color="auto"/>
          </w:divBdr>
        </w:div>
        <w:div w:id="736708421">
          <w:marLeft w:val="0"/>
          <w:marRight w:val="0"/>
          <w:marTop w:val="0"/>
          <w:marBottom w:val="0"/>
          <w:divBdr>
            <w:top w:val="none" w:sz="0" w:space="0" w:color="auto"/>
            <w:left w:val="none" w:sz="0" w:space="0" w:color="auto"/>
            <w:bottom w:val="none" w:sz="0" w:space="0" w:color="auto"/>
            <w:right w:val="none" w:sz="0" w:space="0" w:color="auto"/>
          </w:divBdr>
        </w:div>
        <w:div w:id="1123495543">
          <w:marLeft w:val="0"/>
          <w:marRight w:val="0"/>
          <w:marTop w:val="0"/>
          <w:marBottom w:val="0"/>
          <w:divBdr>
            <w:top w:val="none" w:sz="0" w:space="0" w:color="auto"/>
            <w:left w:val="none" w:sz="0" w:space="0" w:color="auto"/>
            <w:bottom w:val="none" w:sz="0" w:space="0" w:color="auto"/>
            <w:right w:val="none" w:sz="0" w:space="0" w:color="auto"/>
          </w:divBdr>
        </w:div>
      </w:divsChild>
    </w:div>
    <w:div w:id="1063989033">
      <w:bodyDiv w:val="1"/>
      <w:marLeft w:val="0"/>
      <w:marRight w:val="0"/>
      <w:marTop w:val="0"/>
      <w:marBottom w:val="0"/>
      <w:divBdr>
        <w:top w:val="none" w:sz="0" w:space="0" w:color="auto"/>
        <w:left w:val="none" w:sz="0" w:space="0" w:color="auto"/>
        <w:bottom w:val="none" w:sz="0" w:space="0" w:color="auto"/>
        <w:right w:val="none" w:sz="0" w:space="0" w:color="auto"/>
      </w:divBdr>
    </w:div>
    <w:div w:id="1064568611">
      <w:bodyDiv w:val="1"/>
      <w:marLeft w:val="0"/>
      <w:marRight w:val="0"/>
      <w:marTop w:val="0"/>
      <w:marBottom w:val="0"/>
      <w:divBdr>
        <w:top w:val="none" w:sz="0" w:space="0" w:color="auto"/>
        <w:left w:val="none" w:sz="0" w:space="0" w:color="auto"/>
        <w:bottom w:val="none" w:sz="0" w:space="0" w:color="auto"/>
        <w:right w:val="none" w:sz="0" w:space="0" w:color="auto"/>
      </w:divBdr>
    </w:div>
    <w:div w:id="1070158874">
      <w:bodyDiv w:val="1"/>
      <w:marLeft w:val="0"/>
      <w:marRight w:val="0"/>
      <w:marTop w:val="0"/>
      <w:marBottom w:val="0"/>
      <w:divBdr>
        <w:top w:val="none" w:sz="0" w:space="0" w:color="auto"/>
        <w:left w:val="none" w:sz="0" w:space="0" w:color="auto"/>
        <w:bottom w:val="none" w:sz="0" w:space="0" w:color="auto"/>
        <w:right w:val="none" w:sz="0" w:space="0" w:color="auto"/>
      </w:divBdr>
    </w:div>
    <w:div w:id="1070424795">
      <w:bodyDiv w:val="1"/>
      <w:marLeft w:val="0"/>
      <w:marRight w:val="0"/>
      <w:marTop w:val="0"/>
      <w:marBottom w:val="0"/>
      <w:divBdr>
        <w:top w:val="none" w:sz="0" w:space="0" w:color="auto"/>
        <w:left w:val="none" w:sz="0" w:space="0" w:color="auto"/>
        <w:bottom w:val="none" w:sz="0" w:space="0" w:color="auto"/>
        <w:right w:val="none" w:sz="0" w:space="0" w:color="auto"/>
      </w:divBdr>
      <w:divsChild>
        <w:div w:id="1500924825">
          <w:marLeft w:val="0"/>
          <w:marRight w:val="0"/>
          <w:marTop w:val="0"/>
          <w:marBottom w:val="0"/>
          <w:divBdr>
            <w:top w:val="none" w:sz="0" w:space="0" w:color="auto"/>
            <w:left w:val="none" w:sz="0" w:space="0" w:color="auto"/>
            <w:bottom w:val="none" w:sz="0" w:space="0" w:color="auto"/>
            <w:right w:val="none" w:sz="0" w:space="0" w:color="auto"/>
          </w:divBdr>
        </w:div>
      </w:divsChild>
    </w:div>
    <w:div w:id="1073623592">
      <w:bodyDiv w:val="1"/>
      <w:marLeft w:val="0"/>
      <w:marRight w:val="0"/>
      <w:marTop w:val="0"/>
      <w:marBottom w:val="0"/>
      <w:divBdr>
        <w:top w:val="none" w:sz="0" w:space="0" w:color="auto"/>
        <w:left w:val="none" w:sz="0" w:space="0" w:color="auto"/>
        <w:bottom w:val="none" w:sz="0" w:space="0" w:color="auto"/>
        <w:right w:val="none" w:sz="0" w:space="0" w:color="auto"/>
      </w:divBdr>
    </w:div>
    <w:div w:id="1074619867">
      <w:bodyDiv w:val="1"/>
      <w:marLeft w:val="0"/>
      <w:marRight w:val="0"/>
      <w:marTop w:val="0"/>
      <w:marBottom w:val="0"/>
      <w:divBdr>
        <w:top w:val="none" w:sz="0" w:space="0" w:color="auto"/>
        <w:left w:val="none" w:sz="0" w:space="0" w:color="auto"/>
        <w:bottom w:val="none" w:sz="0" w:space="0" w:color="auto"/>
        <w:right w:val="none" w:sz="0" w:space="0" w:color="auto"/>
      </w:divBdr>
    </w:div>
    <w:div w:id="1077705016">
      <w:bodyDiv w:val="1"/>
      <w:marLeft w:val="0"/>
      <w:marRight w:val="0"/>
      <w:marTop w:val="0"/>
      <w:marBottom w:val="0"/>
      <w:divBdr>
        <w:top w:val="none" w:sz="0" w:space="0" w:color="auto"/>
        <w:left w:val="none" w:sz="0" w:space="0" w:color="auto"/>
        <w:bottom w:val="none" w:sz="0" w:space="0" w:color="auto"/>
        <w:right w:val="none" w:sz="0" w:space="0" w:color="auto"/>
      </w:divBdr>
    </w:div>
    <w:div w:id="1081290222">
      <w:bodyDiv w:val="1"/>
      <w:marLeft w:val="0"/>
      <w:marRight w:val="0"/>
      <w:marTop w:val="0"/>
      <w:marBottom w:val="0"/>
      <w:divBdr>
        <w:top w:val="none" w:sz="0" w:space="0" w:color="auto"/>
        <w:left w:val="none" w:sz="0" w:space="0" w:color="auto"/>
        <w:bottom w:val="none" w:sz="0" w:space="0" w:color="auto"/>
        <w:right w:val="none" w:sz="0" w:space="0" w:color="auto"/>
      </w:divBdr>
    </w:div>
    <w:div w:id="1081945072">
      <w:bodyDiv w:val="1"/>
      <w:marLeft w:val="0"/>
      <w:marRight w:val="0"/>
      <w:marTop w:val="0"/>
      <w:marBottom w:val="0"/>
      <w:divBdr>
        <w:top w:val="none" w:sz="0" w:space="0" w:color="auto"/>
        <w:left w:val="none" w:sz="0" w:space="0" w:color="auto"/>
        <w:bottom w:val="none" w:sz="0" w:space="0" w:color="auto"/>
        <w:right w:val="none" w:sz="0" w:space="0" w:color="auto"/>
      </w:divBdr>
    </w:div>
    <w:div w:id="1083378234">
      <w:bodyDiv w:val="1"/>
      <w:marLeft w:val="0"/>
      <w:marRight w:val="0"/>
      <w:marTop w:val="0"/>
      <w:marBottom w:val="0"/>
      <w:divBdr>
        <w:top w:val="none" w:sz="0" w:space="0" w:color="auto"/>
        <w:left w:val="none" w:sz="0" w:space="0" w:color="auto"/>
        <w:bottom w:val="none" w:sz="0" w:space="0" w:color="auto"/>
        <w:right w:val="none" w:sz="0" w:space="0" w:color="auto"/>
      </w:divBdr>
    </w:div>
    <w:div w:id="1086657837">
      <w:bodyDiv w:val="1"/>
      <w:marLeft w:val="0"/>
      <w:marRight w:val="0"/>
      <w:marTop w:val="0"/>
      <w:marBottom w:val="0"/>
      <w:divBdr>
        <w:top w:val="none" w:sz="0" w:space="0" w:color="auto"/>
        <w:left w:val="none" w:sz="0" w:space="0" w:color="auto"/>
        <w:bottom w:val="none" w:sz="0" w:space="0" w:color="auto"/>
        <w:right w:val="none" w:sz="0" w:space="0" w:color="auto"/>
      </w:divBdr>
    </w:div>
    <w:div w:id="1086993428">
      <w:bodyDiv w:val="1"/>
      <w:marLeft w:val="0"/>
      <w:marRight w:val="0"/>
      <w:marTop w:val="0"/>
      <w:marBottom w:val="0"/>
      <w:divBdr>
        <w:top w:val="none" w:sz="0" w:space="0" w:color="auto"/>
        <w:left w:val="none" w:sz="0" w:space="0" w:color="auto"/>
        <w:bottom w:val="none" w:sz="0" w:space="0" w:color="auto"/>
        <w:right w:val="none" w:sz="0" w:space="0" w:color="auto"/>
      </w:divBdr>
    </w:div>
    <w:div w:id="1088648736">
      <w:bodyDiv w:val="1"/>
      <w:marLeft w:val="0"/>
      <w:marRight w:val="0"/>
      <w:marTop w:val="0"/>
      <w:marBottom w:val="0"/>
      <w:divBdr>
        <w:top w:val="none" w:sz="0" w:space="0" w:color="auto"/>
        <w:left w:val="none" w:sz="0" w:space="0" w:color="auto"/>
        <w:bottom w:val="none" w:sz="0" w:space="0" w:color="auto"/>
        <w:right w:val="none" w:sz="0" w:space="0" w:color="auto"/>
      </w:divBdr>
    </w:div>
    <w:div w:id="1090469706">
      <w:bodyDiv w:val="1"/>
      <w:marLeft w:val="0"/>
      <w:marRight w:val="0"/>
      <w:marTop w:val="0"/>
      <w:marBottom w:val="0"/>
      <w:divBdr>
        <w:top w:val="none" w:sz="0" w:space="0" w:color="auto"/>
        <w:left w:val="none" w:sz="0" w:space="0" w:color="auto"/>
        <w:bottom w:val="none" w:sz="0" w:space="0" w:color="auto"/>
        <w:right w:val="none" w:sz="0" w:space="0" w:color="auto"/>
      </w:divBdr>
    </w:div>
    <w:div w:id="1092048763">
      <w:bodyDiv w:val="1"/>
      <w:marLeft w:val="0"/>
      <w:marRight w:val="0"/>
      <w:marTop w:val="0"/>
      <w:marBottom w:val="0"/>
      <w:divBdr>
        <w:top w:val="none" w:sz="0" w:space="0" w:color="auto"/>
        <w:left w:val="none" w:sz="0" w:space="0" w:color="auto"/>
        <w:bottom w:val="none" w:sz="0" w:space="0" w:color="auto"/>
        <w:right w:val="none" w:sz="0" w:space="0" w:color="auto"/>
      </w:divBdr>
    </w:div>
    <w:div w:id="1093280936">
      <w:bodyDiv w:val="1"/>
      <w:marLeft w:val="0"/>
      <w:marRight w:val="0"/>
      <w:marTop w:val="0"/>
      <w:marBottom w:val="0"/>
      <w:divBdr>
        <w:top w:val="none" w:sz="0" w:space="0" w:color="auto"/>
        <w:left w:val="none" w:sz="0" w:space="0" w:color="auto"/>
        <w:bottom w:val="none" w:sz="0" w:space="0" w:color="auto"/>
        <w:right w:val="none" w:sz="0" w:space="0" w:color="auto"/>
      </w:divBdr>
    </w:div>
    <w:div w:id="1098140161">
      <w:bodyDiv w:val="1"/>
      <w:marLeft w:val="0"/>
      <w:marRight w:val="0"/>
      <w:marTop w:val="0"/>
      <w:marBottom w:val="0"/>
      <w:divBdr>
        <w:top w:val="none" w:sz="0" w:space="0" w:color="auto"/>
        <w:left w:val="none" w:sz="0" w:space="0" w:color="auto"/>
        <w:bottom w:val="none" w:sz="0" w:space="0" w:color="auto"/>
        <w:right w:val="none" w:sz="0" w:space="0" w:color="auto"/>
      </w:divBdr>
    </w:div>
    <w:div w:id="1100637338">
      <w:bodyDiv w:val="1"/>
      <w:marLeft w:val="0"/>
      <w:marRight w:val="0"/>
      <w:marTop w:val="0"/>
      <w:marBottom w:val="0"/>
      <w:divBdr>
        <w:top w:val="none" w:sz="0" w:space="0" w:color="auto"/>
        <w:left w:val="none" w:sz="0" w:space="0" w:color="auto"/>
        <w:bottom w:val="none" w:sz="0" w:space="0" w:color="auto"/>
        <w:right w:val="none" w:sz="0" w:space="0" w:color="auto"/>
      </w:divBdr>
    </w:div>
    <w:div w:id="1105424592">
      <w:bodyDiv w:val="1"/>
      <w:marLeft w:val="0"/>
      <w:marRight w:val="0"/>
      <w:marTop w:val="0"/>
      <w:marBottom w:val="0"/>
      <w:divBdr>
        <w:top w:val="none" w:sz="0" w:space="0" w:color="auto"/>
        <w:left w:val="none" w:sz="0" w:space="0" w:color="auto"/>
        <w:bottom w:val="none" w:sz="0" w:space="0" w:color="auto"/>
        <w:right w:val="none" w:sz="0" w:space="0" w:color="auto"/>
      </w:divBdr>
    </w:div>
    <w:div w:id="1109200885">
      <w:bodyDiv w:val="1"/>
      <w:marLeft w:val="0"/>
      <w:marRight w:val="0"/>
      <w:marTop w:val="0"/>
      <w:marBottom w:val="0"/>
      <w:divBdr>
        <w:top w:val="none" w:sz="0" w:space="0" w:color="auto"/>
        <w:left w:val="none" w:sz="0" w:space="0" w:color="auto"/>
        <w:bottom w:val="none" w:sz="0" w:space="0" w:color="auto"/>
        <w:right w:val="none" w:sz="0" w:space="0" w:color="auto"/>
      </w:divBdr>
    </w:div>
    <w:div w:id="1116102474">
      <w:bodyDiv w:val="1"/>
      <w:marLeft w:val="0"/>
      <w:marRight w:val="0"/>
      <w:marTop w:val="0"/>
      <w:marBottom w:val="0"/>
      <w:divBdr>
        <w:top w:val="none" w:sz="0" w:space="0" w:color="auto"/>
        <w:left w:val="none" w:sz="0" w:space="0" w:color="auto"/>
        <w:bottom w:val="none" w:sz="0" w:space="0" w:color="auto"/>
        <w:right w:val="none" w:sz="0" w:space="0" w:color="auto"/>
      </w:divBdr>
      <w:divsChild>
        <w:div w:id="815609499">
          <w:marLeft w:val="0"/>
          <w:marRight w:val="0"/>
          <w:marTop w:val="0"/>
          <w:marBottom w:val="0"/>
          <w:divBdr>
            <w:top w:val="none" w:sz="0" w:space="0" w:color="auto"/>
            <w:left w:val="none" w:sz="0" w:space="0" w:color="auto"/>
            <w:bottom w:val="none" w:sz="0" w:space="0" w:color="auto"/>
            <w:right w:val="none" w:sz="0" w:space="0" w:color="auto"/>
          </w:divBdr>
        </w:div>
        <w:div w:id="341207473">
          <w:marLeft w:val="0"/>
          <w:marRight w:val="0"/>
          <w:marTop w:val="0"/>
          <w:marBottom w:val="0"/>
          <w:divBdr>
            <w:top w:val="none" w:sz="0" w:space="0" w:color="auto"/>
            <w:left w:val="none" w:sz="0" w:space="0" w:color="auto"/>
            <w:bottom w:val="none" w:sz="0" w:space="0" w:color="auto"/>
            <w:right w:val="none" w:sz="0" w:space="0" w:color="auto"/>
          </w:divBdr>
          <w:divsChild>
            <w:div w:id="633367346">
              <w:marLeft w:val="0"/>
              <w:marRight w:val="0"/>
              <w:marTop w:val="0"/>
              <w:marBottom w:val="0"/>
              <w:divBdr>
                <w:top w:val="none" w:sz="0" w:space="0" w:color="auto"/>
                <w:left w:val="none" w:sz="0" w:space="0" w:color="auto"/>
                <w:bottom w:val="none" w:sz="0" w:space="0" w:color="auto"/>
                <w:right w:val="none" w:sz="0" w:space="0" w:color="auto"/>
              </w:divBdr>
              <w:divsChild>
                <w:div w:id="2018579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2967215">
      <w:bodyDiv w:val="1"/>
      <w:marLeft w:val="0"/>
      <w:marRight w:val="0"/>
      <w:marTop w:val="0"/>
      <w:marBottom w:val="0"/>
      <w:divBdr>
        <w:top w:val="none" w:sz="0" w:space="0" w:color="auto"/>
        <w:left w:val="none" w:sz="0" w:space="0" w:color="auto"/>
        <w:bottom w:val="none" w:sz="0" w:space="0" w:color="auto"/>
        <w:right w:val="none" w:sz="0" w:space="0" w:color="auto"/>
      </w:divBdr>
    </w:div>
    <w:div w:id="1123495442">
      <w:bodyDiv w:val="1"/>
      <w:marLeft w:val="0"/>
      <w:marRight w:val="0"/>
      <w:marTop w:val="0"/>
      <w:marBottom w:val="0"/>
      <w:divBdr>
        <w:top w:val="none" w:sz="0" w:space="0" w:color="auto"/>
        <w:left w:val="none" w:sz="0" w:space="0" w:color="auto"/>
        <w:bottom w:val="none" w:sz="0" w:space="0" w:color="auto"/>
        <w:right w:val="none" w:sz="0" w:space="0" w:color="auto"/>
      </w:divBdr>
    </w:div>
    <w:div w:id="1126121228">
      <w:bodyDiv w:val="1"/>
      <w:marLeft w:val="0"/>
      <w:marRight w:val="0"/>
      <w:marTop w:val="0"/>
      <w:marBottom w:val="0"/>
      <w:divBdr>
        <w:top w:val="none" w:sz="0" w:space="0" w:color="auto"/>
        <w:left w:val="none" w:sz="0" w:space="0" w:color="auto"/>
        <w:bottom w:val="none" w:sz="0" w:space="0" w:color="auto"/>
        <w:right w:val="none" w:sz="0" w:space="0" w:color="auto"/>
      </w:divBdr>
    </w:div>
    <w:div w:id="1132479019">
      <w:bodyDiv w:val="1"/>
      <w:marLeft w:val="0"/>
      <w:marRight w:val="0"/>
      <w:marTop w:val="0"/>
      <w:marBottom w:val="0"/>
      <w:divBdr>
        <w:top w:val="none" w:sz="0" w:space="0" w:color="auto"/>
        <w:left w:val="none" w:sz="0" w:space="0" w:color="auto"/>
        <w:bottom w:val="none" w:sz="0" w:space="0" w:color="auto"/>
        <w:right w:val="none" w:sz="0" w:space="0" w:color="auto"/>
      </w:divBdr>
    </w:div>
    <w:div w:id="1135414923">
      <w:bodyDiv w:val="1"/>
      <w:marLeft w:val="0"/>
      <w:marRight w:val="0"/>
      <w:marTop w:val="0"/>
      <w:marBottom w:val="0"/>
      <w:divBdr>
        <w:top w:val="none" w:sz="0" w:space="0" w:color="auto"/>
        <w:left w:val="none" w:sz="0" w:space="0" w:color="auto"/>
        <w:bottom w:val="none" w:sz="0" w:space="0" w:color="auto"/>
        <w:right w:val="none" w:sz="0" w:space="0" w:color="auto"/>
      </w:divBdr>
      <w:divsChild>
        <w:div w:id="1718314423">
          <w:marLeft w:val="0"/>
          <w:marRight w:val="0"/>
          <w:marTop w:val="0"/>
          <w:marBottom w:val="0"/>
          <w:divBdr>
            <w:top w:val="none" w:sz="0" w:space="0" w:color="auto"/>
            <w:left w:val="none" w:sz="0" w:space="0" w:color="auto"/>
            <w:bottom w:val="none" w:sz="0" w:space="0" w:color="auto"/>
            <w:right w:val="none" w:sz="0" w:space="0" w:color="auto"/>
          </w:divBdr>
        </w:div>
        <w:div w:id="1079250913">
          <w:marLeft w:val="0"/>
          <w:marRight w:val="0"/>
          <w:marTop w:val="0"/>
          <w:marBottom w:val="0"/>
          <w:divBdr>
            <w:top w:val="none" w:sz="0" w:space="0" w:color="auto"/>
            <w:left w:val="none" w:sz="0" w:space="0" w:color="auto"/>
            <w:bottom w:val="none" w:sz="0" w:space="0" w:color="auto"/>
            <w:right w:val="none" w:sz="0" w:space="0" w:color="auto"/>
          </w:divBdr>
        </w:div>
        <w:div w:id="712340404">
          <w:marLeft w:val="0"/>
          <w:marRight w:val="0"/>
          <w:marTop w:val="0"/>
          <w:marBottom w:val="0"/>
          <w:divBdr>
            <w:top w:val="none" w:sz="0" w:space="0" w:color="auto"/>
            <w:left w:val="none" w:sz="0" w:space="0" w:color="auto"/>
            <w:bottom w:val="none" w:sz="0" w:space="0" w:color="auto"/>
            <w:right w:val="none" w:sz="0" w:space="0" w:color="auto"/>
          </w:divBdr>
        </w:div>
        <w:div w:id="1946300497">
          <w:marLeft w:val="0"/>
          <w:marRight w:val="0"/>
          <w:marTop w:val="0"/>
          <w:marBottom w:val="0"/>
          <w:divBdr>
            <w:top w:val="none" w:sz="0" w:space="0" w:color="auto"/>
            <w:left w:val="none" w:sz="0" w:space="0" w:color="auto"/>
            <w:bottom w:val="none" w:sz="0" w:space="0" w:color="auto"/>
            <w:right w:val="none" w:sz="0" w:space="0" w:color="auto"/>
          </w:divBdr>
        </w:div>
        <w:div w:id="657459696">
          <w:marLeft w:val="0"/>
          <w:marRight w:val="0"/>
          <w:marTop w:val="0"/>
          <w:marBottom w:val="0"/>
          <w:divBdr>
            <w:top w:val="none" w:sz="0" w:space="0" w:color="auto"/>
            <w:left w:val="none" w:sz="0" w:space="0" w:color="auto"/>
            <w:bottom w:val="none" w:sz="0" w:space="0" w:color="auto"/>
            <w:right w:val="none" w:sz="0" w:space="0" w:color="auto"/>
          </w:divBdr>
        </w:div>
      </w:divsChild>
    </w:div>
    <w:div w:id="1136215433">
      <w:bodyDiv w:val="1"/>
      <w:marLeft w:val="0"/>
      <w:marRight w:val="0"/>
      <w:marTop w:val="0"/>
      <w:marBottom w:val="0"/>
      <w:divBdr>
        <w:top w:val="none" w:sz="0" w:space="0" w:color="auto"/>
        <w:left w:val="none" w:sz="0" w:space="0" w:color="auto"/>
        <w:bottom w:val="none" w:sz="0" w:space="0" w:color="auto"/>
        <w:right w:val="none" w:sz="0" w:space="0" w:color="auto"/>
      </w:divBdr>
    </w:div>
    <w:div w:id="1137333126">
      <w:bodyDiv w:val="1"/>
      <w:marLeft w:val="0"/>
      <w:marRight w:val="0"/>
      <w:marTop w:val="0"/>
      <w:marBottom w:val="0"/>
      <w:divBdr>
        <w:top w:val="none" w:sz="0" w:space="0" w:color="auto"/>
        <w:left w:val="none" w:sz="0" w:space="0" w:color="auto"/>
        <w:bottom w:val="none" w:sz="0" w:space="0" w:color="auto"/>
        <w:right w:val="none" w:sz="0" w:space="0" w:color="auto"/>
      </w:divBdr>
    </w:div>
    <w:div w:id="1141773032">
      <w:bodyDiv w:val="1"/>
      <w:marLeft w:val="0"/>
      <w:marRight w:val="0"/>
      <w:marTop w:val="0"/>
      <w:marBottom w:val="0"/>
      <w:divBdr>
        <w:top w:val="none" w:sz="0" w:space="0" w:color="auto"/>
        <w:left w:val="none" w:sz="0" w:space="0" w:color="auto"/>
        <w:bottom w:val="none" w:sz="0" w:space="0" w:color="auto"/>
        <w:right w:val="none" w:sz="0" w:space="0" w:color="auto"/>
      </w:divBdr>
    </w:div>
    <w:div w:id="1146438393">
      <w:bodyDiv w:val="1"/>
      <w:marLeft w:val="0"/>
      <w:marRight w:val="0"/>
      <w:marTop w:val="0"/>
      <w:marBottom w:val="0"/>
      <w:divBdr>
        <w:top w:val="none" w:sz="0" w:space="0" w:color="auto"/>
        <w:left w:val="none" w:sz="0" w:space="0" w:color="auto"/>
        <w:bottom w:val="none" w:sz="0" w:space="0" w:color="auto"/>
        <w:right w:val="none" w:sz="0" w:space="0" w:color="auto"/>
      </w:divBdr>
    </w:div>
    <w:div w:id="1147551882">
      <w:bodyDiv w:val="1"/>
      <w:marLeft w:val="0"/>
      <w:marRight w:val="0"/>
      <w:marTop w:val="0"/>
      <w:marBottom w:val="0"/>
      <w:divBdr>
        <w:top w:val="none" w:sz="0" w:space="0" w:color="auto"/>
        <w:left w:val="none" w:sz="0" w:space="0" w:color="auto"/>
        <w:bottom w:val="none" w:sz="0" w:space="0" w:color="auto"/>
        <w:right w:val="none" w:sz="0" w:space="0" w:color="auto"/>
      </w:divBdr>
    </w:div>
    <w:div w:id="1149857555">
      <w:bodyDiv w:val="1"/>
      <w:marLeft w:val="0"/>
      <w:marRight w:val="0"/>
      <w:marTop w:val="0"/>
      <w:marBottom w:val="0"/>
      <w:divBdr>
        <w:top w:val="none" w:sz="0" w:space="0" w:color="auto"/>
        <w:left w:val="none" w:sz="0" w:space="0" w:color="auto"/>
        <w:bottom w:val="none" w:sz="0" w:space="0" w:color="auto"/>
        <w:right w:val="none" w:sz="0" w:space="0" w:color="auto"/>
      </w:divBdr>
    </w:div>
    <w:div w:id="1150101932">
      <w:bodyDiv w:val="1"/>
      <w:marLeft w:val="0"/>
      <w:marRight w:val="0"/>
      <w:marTop w:val="0"/>
      <w:marBottom w:val="0"/>
      <w:divBdr>
        <w:top w:val="none" w:sz="0" w:space="0" w:color="auto"/>
        <w:left w:val="none" w:sz="0" w:space="0" w:color="auto"/>
        <w:bottom w:val="none" w:sz="0" w:space="0" w:color="auto"/>
        <w:right w:val="none" w:sz="0" w:space="0" w:color="auto"/>
      </w:divBdr>
    </w:div>
    <w:div w:id="1154293349">
      <w:bodyDiv w:val="1"/>
      <w:marLeft w:val="0"/>
      <w:marRight w:val="0"/>
      <w:marTop w:val="0"/>
      <w:marBottom w:val="0"/>
      <w:divBdr>
        <w:top w:val="none" w:sz="0" w:space="0" w:color="auto"/>
        <w:left w:val="none" w:sz="0" w:space="0" w:color="auto"/>
        <w:bottom w:val="none" w:sz="0" w:space="0" w:color="auto"/>
        <w:right w:val="none" w:sz="0" w:space="0" w:color="auto"/>
      </w:divBdr>
      <w:divsChild>
        <w:div w:id="992413654">
          <w:marLeft w:val="0"/>
          <w:marRight w:val="0"/>
          <w:marTop w:val="0"/>
          <w:marBottom w:val="0"/>
          <w:divBdr>
            <w:top w:val="none" w:sz="0" w:space="0" w:color="auto"/>
            <w:left w:val="none" w:sz="0" w:space="0" w:color="auto"/>
            <w:bottom w:val="none" w:sz="0" w:space="0" w:color="auto"/>
            <w:right w:val="none" w:sz="0" w:space="0" w:color="auto"/>
          </w:divBdr>
        </w:div>
        <w:div w:id="756907227">
          <w:marLeft w:val="0"/>
          <w:marRight w:val="0"/>
          <w:marTop w:val="0"/>
          <w:marBottom w:val="0"/>
          <w:divBdr>
            <w:top w:val="none" w:sz="0" w:space="0" w:color="auto"/>
            <w:left w:val="none" w:sz="0" w:space="0" w:color="auto"/>
            <w:bottom w:val="none" w:sz="0" w:space="0" w:color="auto"/>
            <w:right w:val="none" w:sz="0" w:space="0" w:color="auto"/>
          </w:divBdr>
        </w:div>
        <w:div w:id="157431142">
          <w:marLeft w:val="0"/>
          <w:marRight w:val="0"/>
          <w:marTop w:val="0"/>
          <w:marBottom w:val="0"/>
          <w:divBdr>
            <w:top w:val="none" w:sz="0" w:space="0" w:color="auto"/>
            <w:left w:val="none" w:sz="0" w:space="0" w:color="auto"/>
            <w:bottom w:val="none" w:sz="0" w:space="0" w:color="auto"/>
            <w:right w:val="none" w:sz="0" w:space="0" w:color="auto"/>
          </w:divBdr>
        </w:div>
        <w:div w:id="857887957">
          <w:marLeft w:val="0"/>
          <w:marRight w:val="0"/>
          <w:marTop w:val="0"/>
          <w:marBottom w:val="0"/>
          <w:divBdr>
            <w:top w:val="none" w:sz="0" w:space="0" w:color="auto"/>
            <w:left w:val="none" w:sz="0" w:space="0" w:color="auto"/>
            <w:bottom w:val="none" w:sz="0" w:space="0" w:color="auto"/>
            <w:right w:val="none" w:sz="0" w:space="0" w:color="auto"/>
          </w:divBdr>
        </w:div>
        <w:div w:id="174729798">
          <w:marLeft w:val="0"/>
          <w:marRight w:val="0"/>
          <w:marTop w:val="0"/>
          <w:marBottom w:val="0"/>
          <w:divBdr>
            <w:top w:val="none" w:sz="0" w:space="0" w:color="auto"/>
            <w:left w:val="none" w:sz="0" w:space="0" w:color="auto"/>
            <w:bottom w:val="none" w:sz="0" w:space="0" w:color="auto"/>
            <w:right w:val="none" w:sz="0" w:space="0" w:color="auto"/>
          </w:divBdr>
        </w:div>
        <w:div w:id="1138181636">
          <w:marLeft w:val="0"/>
          <w:marRight w:val="0"/>
          <w:marTop w:val="0"/>
          <w:marBottom w:val="0"/>
          <w:divBdr>
            <w:top w:val="none" w:sz="0" w:space="0" w:color="auto"/>
            <w:left w:val="none" w:sz="0" w:space="0" w:color="auto"/>
            <w:bottom w:val="none" w:sz="0" w:space="0" w:color="auto"/>
            <w:right w:val="none" w:sz="0" w:space="0" w:color="auto"/>
          </w:divBdr>
        </w:div>
        <w:div w:id="806237587">
          <w:marLeft w:val="0"/>
          <w:marRight w:val="0"/>
          <w:marTop w:val="0"/>
          <w:marBottom w:val="0"/>
          <w:divBdr>
            <w:top w:val="none" w:sz="0" w:space="0" w:color="auto"/>
            <w:left w:val="none" w:sz="0" w:space="0" w:color="auto"/>
            <w:bottom w:val="none" w:sz="0" w:space="0" w:color="auto"/>
            <w:right w:val="none" w:sz="0" w:space="0" w:color="auto"/>
          </w:divBdr>
        </w:div>
        <w:div w:id="1813672308">
          <w:marLeft w:val="0"/>
          <w:marRight w:val="0"/>
          <w:marTop w:val="0"/>
          <w:marBottom w:val="0"/>
          <w:divBdr>
            <w:top w:val="none" w:sz="0" w:space="0" w:color="auto"/>
            <w:left w:val="none" w:sz="0" w:space="0" w:color="auto"/>
            <w:bottom w:val="none" w:sz="0" w:space="0" w:color="auto"/>
            <w:right w:val="none" w:sz="0" w:space="0" w:color="auto"/>
          </w:divBdr>
        </w:div>
        <w:div w:id="493767997">
          <w:marLeft w:val="0"/>
          <w:marRight w:val="0"/>
          <w:marTop w:val="0"/>
          <w:marBottom w:val="0"/>
          <w:divBdr>
            <w:top w:val="none" w:sz="0" w:space="0" w:color="auto"/>
            <w:left w:val="none" w:sz="0" w:space="0" w:color="auto"/>
            <w:bottom w:val="none" w:sz="0" w:space="0" w:color="auto"/>
            <w:right w:val="none" w:sz="0" w:space="0" w:color="auto"/>
          </w:divBdr>
        </w:div>
        <w:div w:id="1136994380">
          <w:marLeft w:val="0"/>
          <w:marRight w:val="0"/>
          <w:marTop w:val="0"/>
          <w:marBottom w:val="0"/>
          <w:divBdr>
            <w:top w:val="none" w:sz="0" w:space="0" w:color="auto"/>
            <w:left w:val="none" w:sz="0" w:space="0" w:color="auto"/>
            <w:bottom w:val="none" w:sz="0" w:space="0" w:color="auto"/>
            <w:right w:val="none" w:sz="0" w:space="0" w:color="auto"/>
          </w:divBdr>
        </w:div>
        <w:div w:id="1987318857">
          <w:marLeft w:val="0"/>
          <w:marRight w:val="0"/>
          <w:marTop w:val="0"/>
          <w:marBottom w:val="0"/>
          <w:divBdr>
            <w:top w:val="none" w:sz="0" w:space="0" w:color="auto"/>
            <w:left w:val="none" w:sz="0" w:space="0" w:color="auto"/>
            <w:bottom w:val="none" w:sz="0" w:space="0" w:color="auto"/>
            <w:right w:val="none" w:sz="0" w:space="0" w:color="auto"/>
          </w:divBdr>
        </w:div>
        <w:div w:id="899751526">
          <w:marLeft w:val="0"/>
          <w:marRight w:val="0"/>
          <w:marTop w:val="0"/>
          <w:marBottom w:val="0"/>
          <w:divBdr>
            <w:top w:val="none" w:sz="0" w:space="0" w:color="auto"/>
            <w:left w:val="none" w:sz="0" w:space="0" w:color="auto"/>
            <w:bottom w:val="none" w:sz="0" w:space="0" w:color="auto"/>
            <w:right w:val="none" w:sz="0" w:space="0" w:color="auto"/>
          </w:divBdr>
        </w:div>
        <w:div w:id="1355494383">
          <w:marLeft w:val="0"/>
          <w:marRight w:val="0"/>
          <w:marTop w:val="0"/>
          <w:marBottom w:val="0"/>
          <w:divBdr>
            <w:top w:val="none" w:sz="0" w:space="0" w:color="auto"/>
            <w:left w:val="none" w:sz="0" w:space="0" w:color="auto"/>
            <w:bottom w:val="none" w:sz="0" w:space="0" w:color="auto"/>
            <w:right w:val="none" w:sz="0" w:space="0" w:color="auto"/>
          </w:divBdr>
        </w:div>
        <w:div w:id="1861552599">
          <w:marLeft w:val="0"/>
          <w:marRight w:val="0"/>
          <w:marTop w:val="0"/>
          <w:marBottom w:val="0"/>
          <w:divBdr>
            <w:top w:val="none" w:sz="0" w:space="0" w:color="auto"/>
            <w:left w:val="none" w:sz="0" w:space="0" w:color="auto"/>
            <w:bottom w:val="none" w:sz="0" w:space="0" w:color="auto"/>
            <w:right w:val="none" w:sz="0" w:space="0" w:color="auto"/>
          </w:divBdr>
        </w:div>
        <w:div w:id="454448991">
          <w:marLeft w:val="0"/>
          <w:marRight w:val="0"/>
          <w:marTop w:val="0"/>
          <w:marBottom w:val="0"/>
          <w:divBdr>
            <w:top w:val="none" w:sz="0" w:space="0" w:color="auto"/>
            <w:left w:val="none" w:sz="0" w:space="0" w:color="auto"/>
            <w:bottom w:val="none" w:sz="0" w:space="0" w:color="auto"/>
            <w:right w:val="none" w:sz="0" w:space="0" w:color="auto"/>
          </w:divBdr>
        </w:div>
        <w:div w:id="171535718">
          <w:marLeft w:val="0"/>
          <w:marRight w:val="0"/>
          <w:marTop w:val="0"/>
          <w:marBottom w:val="0"/>
          <w:divBdr>
            <w:top w:val="none" w:sz="0" w:space="0" w:color="auto"/>
            <w:left w:val="none" w:sz="0" w:space="0" w:color="auto"/>
            <w:bottom w:val="none" w:sz="0" w:space="0" w:color="auto"/>
            <w:right w:val="none" w:sz="0" w:space="0" w:color="auto"/>
          </w:divBdr>
        </w:div>
        <w:div w:id="154614498">
          <w:marLeft w:val="0"/>
          <w:marRight w:val="0"/>
          <w:marTop w:val="0"/>
          <w:marBottom w:val="0"/>
          <w:divBdr>
            <w:top w:val="none" w:sz="0" w:space="0" w:color="auto"/>
            <w:left w:val="none" w:sz="0" w:space="0" w:color="auto"/>
            <w:bottom w:val="none" w:sz="0" w:space="0" w:color="auto"/>
            <w:right w:val="none" w:sz="0" w:space="0" w:color="auto"/>
          </w:divBdr>
        </w:div>
        <w:div w:id="334848000">
          <w:marLeft w:val="0"/>
          <w:marRight w:val="0"/>
          <w:marTop w:val="0"/>
          <w:marBottom w:val="0"/>
          <w:divBdr>
            <w:top w:val="none" w:sz="0" w:space="0" w:color="auto"/>
            <w:left w:val="none" w:sz="0" w:space="0" w:color="auto"/>
            <w:bottom w:val="none" w:sz="0" w:space="0" w:color="auto"/>
            <w:right w:val="none" w:sz="0" w:space="0" w:color="auto"/>
          </w:divBdr>
        </w:div>
        <w:div w:id="2123760403">
          <w:marLeft w:val="0"/>
          <w:marRight w:val="0"/>
          <w:marTop w:val="0"/>
          <w:marBottom w:val="0"/>
          <w:divBdr>
            <w:top w:val="none" w:sz="0" w:space="0" w:color="auto"/>
            <w:left w:val="none" w:sz="0" w:space="0" w:color="auto"/>
            <w:bottom w:val="none" w:sz="0" w:space="0" w:color="auto"/>
            <w:right w:val="none" w:sz="0" w:space="0" w:color="auto"/>
          </w:divBdr>
        </w:div>
        <w:div w:id="1805809794">
          <w:marLeft w:val="0"/>
          <w:marRight w:val="0"/>
          <w:marTop w:val="0"/>
          <w:marBottom w:val="0"/>
          <w:divBdr>
            <w:top w:val="none" w:sz="0" w:space="0" w:color="auto"/>
            <w:left w:val="none" w:sz="0" w:space="0" w:color="auto"/>
            <w:bottom w:val="none" w:sz="0" w:space="0" w:color="auto"/>
            <w:right w:val="none" w:sz="0" w:space="0" w:color="auto"/>
          </w:divBdr>
        </w:div>
        <w:div w:id="867522185">
          <w:marLeft w:val="0"/>
          <w:marRight w:val="0"/>
          <w:marTop w:val="0"/>
          <w:marBottom w:val="0"/>
          <w:divBdr>
            <w:top w:val="none" w:sz="0" w:space="0" w:color="auto"/>
            <w:left w:val="none" w:sz="0" w:space="0" w:color="auto"/>
            <w:bottom w:val="none" w:sz="0" w:space="0" w:color="auto"/>
            <w:right w:val="none" w:sz="0" w:space="0" w:color="auto"/>
          </w:divBdr>
        </w:div>
        <w:div w:id="1493713868">
          <w:marLeft w:val="0"/>
          <w:marRight w:val="0"/>
          <w:marTop w:val="0"/>
          <w:marBottom w:val="0"/>
          <w:divBdr>
            <w:top w:val="none" w:sz="0" w:space="0" w:color="auto"/>
            <w:left w:val="none" w:sz="0" w:space="0" w:color="auto"/>
            <w:bottom w:val="none" w:sz="0" w:space="0" w:color="auto"/>
            <w:right w:val="none" w:sz="0" w:space="0" w:color="auto"/>
          </w:divBdr>
        </w:div>
        <w:div w:id="163129694">
          <w:marLeft w:val="0"/>
          <w:marRight w:val="0"/>
          <w:marTop w:val="0"/>
          <w:marBottom w:val="0"/>
          <w:divBdr>
            <w:top w:val="none" w:sz="0" w:space="0" w:color="auto"/>
            <w:left w:val="none" w:sz="0" w:space="0" w:color="auto"/>
            <w:bottom w:val="none" w:sz="0" w:space="0" w:color="auto"/>
            <w:right w:val="none" w:sz="0" w:space="0" w:color="auto"/>
          </w:divBdr>
        </w:div>
        <w:div w:id="498423748">
          <w:marLeft w:val="0"/>
          <w:marRight w:val="0"/>
          <w:marTop w:val="0"/>
          <w:marBottom w:val="0"/>
          <w:divBdr>
            <w:top w:val="none" w:sz="0" w:space="0" w:color="auto"/>
            <w:left w:val="none" w:sz="0" w:space="0" w:color="auto"/>
            <w:bottom w:val="none" w:sz="0" w:space="0" w:color="auto"/>
            <w:right w:val="none" w:sz="0" w:space="0" w:color="auto"/>
          </w:divBdr>
        </w:div>
        <w:div w:id="502547322">
          <w:marLeft w:val="0"/>
          <w:marRight w:val="0"/>
          <w:marTop w:val="0"/>
          <w:marBottom w:val="0"/>
          <w:divBdr>
            <w:top w:val="none" w:sz="0" w:space="0" w:color="auto"/>
            <w:left w:val="none" w:sz="0" w:space="0" w:color="auto"/>
            <w:bottom w:val="none" w:sz="0" w:space="0" w:color="auto"/>
            <w:right w:val="none" w:sz="0" w:space="0" w:color="auto"/>
          </w:divBdr>
        </w:div>
        <w:div w:id="838424845">
          <w:marLeft w:val="0"/>
          <w:marRight w:val="0"/>
          <w:marTop w:val="0"/>
          <w:marBottom w:val="0"/>
          <w:divBdr>
            <w:top w:val="none" w:sz="0" w:space="0" w:color="auto"/>
            <w:left w:val="none" w:sz="0" w:space="0" w:color="auto"/>
            <w:bottom w:val="none" w:sz="0" w:space="0" w:color="auto"/>
            <w:right w:val="none" w:sz="0" w:space="0" w:color="auto"/>
          </w:divBdr>
        </w:div>
        <w:div w:id="1923292594">
          <w:marLeft w:val="0"/>
          <w:marRight w:val="0"/>
          <w:marTop w:val="0"/>
          <w:marBottom w:val="0"/>
          <w:divBdr>
            <w:top w:val="none" w:sz="0" w:space="0" w:color="auto"/>
            <w:left w:val="none" w:sz="0" w:space="0" w:color="auto"/>
            <w:bottom w:val="none" w:sz="0" w:space="0" w:color="auto"/>
            <w:right w:val="none" w:sz="0" w:space="0" w:color="auto"/>
          </w:divBdr>
        </w:div>
        <w:div w:id="1043289494">
          <w:marLeft w:val="0"/>
          <w:marRight w:val="0"/>
          <w:marTop w:val="0"/>
          <w:marBottom w:val="0"/>
          <w:divBdr>
            <w:top w:val="none" w:sz="0" w:space="0" w:color="auto"/>
            <w:left w:val="none" w:sz="0" w:space="0" w:color="auto"/>
            <w:bottom w:val="none" w:sz="0" w:space="0" w:color="auto"/>
            <w:right w:val="none" w:sz="0" w:space="0" w:color="auto"/>
          </w:divBdr>
        </w:div>
        <w:div w:id="239869061">
          <w:marLeft w:val="0"/>
          <w:marRight w:val="0"/>
          <w:marTop w:val="0"/>
          <w:marBottom w:val="0"/>
          <w:divBdr>
            <w:top w:val="none" w:sz="0" w:space="0" w:color="auto"/>
            <w:left w:val="none" w:sz="0" w:space="0" w:color="auto"/>
            <w:bottom w:val="none" w:sz="0" w:space="0" w:color="auto"/>
            <w:right w:val="none" w:sz="0" w:space="0" w:color="auto"/>
          </w:divBdr>
        </w:div>
        <w:div w:id="883564988">
          <w:marLeft w:val="0"/>
          <w:marRight w:val="0"/>
          <w:marTop w:val="0"/>
          <w:marBottom w:val="0"/>
          <w:divBdr>
            <w:top w:val="none" w:sz="0" w:space="0" w:color="auto"/>
            <w:left w:val="none" w:sz="0" w:space="0" w:color="auto"/>
            <w:bottom w:val="none" w:sz="0" w:space="0" w:color="auto"/>
            <w:right w:val="none" w:sz="0" w:space="0" w:color="auto"/>
          </w:divBdr>
        </w:div>
        <w:div w:id="954094726">
          <w:marLeft w:val="0"/>
          <w:marRight w:val="0"/>
          <w:marTop w:val="0"/>
          <w:marBottom w:val="0"/>
          <w:divBdr>
            <w:top w:val="none" w:sz="0" w:space="0" w:color="auto"/>
            <w:left w:val="none" w:sz="0" w:space="0" w:color="auto"/>
            <w:bottom w:val="none" w:sz="0" w:space="0" w:color="auto"/>
            <w:right w:val="none" w:sz="0" w:space="0" w:color="auto"/>
          </w:divBdr>
        </w:div>
        <w:div w:id="878323091">
          <w:marLeft w:val="0"/>
          <w:marRight w:val="0"/>
          <w:marTop w:val="0"/>
          <w:marBottom w:val="0"/>
          <w:divBdr>
            <w:top w:val="none" w:sz="0" w:space="0" w:color="auto"/>
            <w:left w:val="none" w:sz="0" w:space="0" w:color="auto"/>
            <w:bottom w:val="none" w:sz="0" w:space="0" w:color="auto"/>
            <w:right w:val="none" w:sz="0" w:space="0" w:color="auto"/>
          </w:divBdr>
        </w:div>
        <w:div w:id="357051024">
          <w:marLeft w:val="0"/>
          <w:marRight w:val="0"/>
          <w:marTop w:val="0"/>
          <w:marBottom w:val="0"/>
          <w:divBdr>
            <w:top w:val="none" w:sz="0" w:space="0" w:color="auto"/>
            <w:left w:val="none" w:sz="0" w:space="0" w:color="auto"/>
            <w:bottom w:val="none" w:sz="0" w:space="0" w:color="auto"/>
            <w:right w:val="none" w:sz="0" w:space="0" w:color="auto"/>
          </w:divBdr>
        </w:div>
        <w:div w:id="1716155787">
          <w:marLeft w:val="0"/>
          <w:marRight w:val="0"/>
          <w:marTop w:val="0"/>
          <w:marBottom w:val="0"/>
          <w:divBdr>
            <w:top w:val="none" w:sz="0" w:space="0" w:color="auto"/>
            <w:left w:val="none" w:sz="0" w:space="0" w:color="auto"/>
            <w:bottom w:val="none" w:sz="0" w:space="0" w:color="auto"/>
            <w:right w:val="none" w:sz="0" w:space="0" w:color="auto"/>
          </w:divBdr>
        </w:div>
        <w:div w:id="157504795">
          <w:marLeft w:val="0"/>
          <w:marRight w:val="0"/>
          <w:marTop w:val="0"/>
          <w:marBottom w:val="0"/>
          <w:divBdr>
            <w:top w:val="none" w:sz="0" w:space="0" w:color="auto"/>
            <w:left w:val="none" w:sz="0" w:space="0" w:color="auto"/>
            <w:bottom w:val="none" w:sz="0" w:space="0" w:color="auto"/>
            <w:right w:val="none" w:sz="0" w:space="0" w:color="auto"/>
          </w:divBdr>
        </w:div>
        <w:div w:id="524487041">
          <w:marLeft w:val="0"/>
          <w:marRight w:val="0"/>
          <w:marTop w:val="0"/>
          <w:marBottom w:val="0"/>
          <w:divBdr>
            <w:top w:val="none" w:sz="0" w:space="0" w:color="auto"/>
            <w:left w:val="none" w:sz="0" w:space="0" w:color="auto"/>
            <w:bottom w:val="none" w:sz="0" w:space="0" w:color="auto"/>
            <w:right w:val="none" w:sz="0" w:space="0" w:color="auto"/>
          </w:divBdr>
        </w:div>
        <w:div w:id="765540390">
          <w:marLeft w:val="0"/>
          <w:marRight w:val="0"/>
          <w:marTop w:val="0"/>
          <w:marBottom w:val="0"/>
          <w:divBdr>
            <w:top w:val="none" w:sz="0" w:space="0" w:color="auto"/>
            <w:left w:val="none" w:sz="0" w:space="0" w:color="auto"/>
            <w:bottom w:val="none" w:sz="0" w:space="0" w:color="auto"/>
            <w:right w:val="none" w:sz="0" w:space="0" w:color="auto"/>
          </w:divBdr>
        </w:div>
        <w:div w:id="532767700">
          <w:marLeft w:val="0"/>
          <w:marRight w:val="0"/>
          <w:marTop w:val="0"/>
          <w:marBottom w:val="0"/>
          <w:divBdr>
            <w:top w:val="none" w:sz="0" w:space="0" w:color="auto"/>
            <w:left w:val="none" w:sz="0" w:space="0" w:color="auto"/>
            <w:bottom w:val="none" w:sz="0" w:space="0" w:color="auto"/>
            <w:right w:val="none" w:sz="0" w:space="0" w:color="auto"/>
          </w:divBdr>
        </w:div>
        <w:div w:id="1610698330">
          <w:marLeft w:val="0"/>
          <w:marRight w:val="0"/>
          <w:marTop w:val="0"/>
          <w:marBottom w:val="0"/>
          <w:divBdr>
            <w:top w:val="none" w:sz="0" w:space="0" w:color="auto"/>
            <w:left w:val="none" w:sz="0" w:space="0" w:color="auto"/>
            <w:bottom w:val="none" w:sz="0" w:space="0" w:color="auto"/>
            <w:right w:val="none" w:sz="0" w:space="0" w:color="auto"/>
          </w:divBdr>
        </w:div>
        <w:div w:id="1769619501">
          <w:marLeft w:val="0"/>
          <w:marRight w:val="0"/>
          <w:marTop w:val="0"/>
          <w:marBottom w:val="0"/>
          <w:divBdr>
            <w:top w:val="none" w:sz="0" w:space="0" w:color="auto"/>
            <w:left w:val="none" w:sz="0" w:space="0" w:color="auto"/>
            <w:bottom w:val="none" w:sz="0" w:space="0" w:color="auto"/>
            <w:right w:val="none" w:sz="0" w:space="0" w:color="auto"/>
          </w:divBdr>
        </w:div>
        <w:div w:id="258801697">
          <w:marLeft w:val="0"/>
          <w:marRight w:val="0"/>
          <w:marTop w:val="0"/>
          <w:marBottom w:val="0"/>
          <w:divBdr>
            <w:top w:val="none" w:sz="0" w:space="0" w:color="auto"/>
            <w:left w:val="none" w:sz="0" w:space="0" w:color="auto"/>
            <w:bottom w:val="none" w:sz="0" w:space="0" w:color="auto"/>
            <w:right w:val="none" w:sz="0" w:space="0" w:color="auto"/>
          </w:divBdr>
        </w:div>
        <w:div w:id="7997355">
          <w:marLeft w:val="0"/>
          <w:marRight w:val="0"/>
          <w:marTop w:val="0"/>
          <w:marBottom w:val="0"/>
          <w:divBdr>
            <w:top w:val="none" w:sz="0" w:space="0" w:color="auto"/>
            <w:left w:val="none" w:sz="0" w:space="0" w:color="auto"/>
            <w:bottom w:val="none" w:sz="0" w:space="0" w:color="auto"/>
            <w:right w:val="none" w:sz="0" w:space="0" w:color="auto"/>
          </w:divBdr>
        </w:div>
        <w:div w:id="794905169">
          <w:marLeft w:val="0"/>
          <w:marRight w:val="0"/>
          <w:marTop w:val="0"/>
          <w:marBottom w:val="0"/>
          <w:divBdr>
            <w:top w:val="none" w:sz="0" w:space="0" w:color="auto"/>
            <w:left w:val="none" w:sz="0" w:space="0" w:color="auto"/>
            <w:bottom w:val="none" w:sz="0" w:space="0" w:color="auto"/>
            <w:right w:val="none" w:sz="0" w:space="0" w:color="auto"/>
          </w:divBdr>
        </w:div>
        <w:div w:id="429207134">
          <w:marLeft w:val="0"/>
          <w:marRight w:val="0"/>
          <w:marTop w:val="0"/>
          <w:marBottom w:val="0"/>
          <w:divBdr>
            <w:top w:val="none" w:sz="0" w:space="0" w:color="auto"/>
            <w:left w:val="none" w:sz="0" w:space="0" w:color="auto"/>
            <w:bottom w:val="none" w:sz="0" w:space="0" w:color="auto"/>
            <w:right w:val="none" w:sz="0" w:space="0" w:color="auto"/>
          </w:divBdr>
        </w:div>
        <w:div w:id="1873884867">
          <w:marLeft w:val="0"/>
          <w:marRight w:val="0"/>
          <w:marTop w:val="0"/>
          <w:marBottom w:val="0"/>
          <w:divBdr>
            <w:top w:val="none" w:sz="0" w:space="0" w:color="auto"/>
            <w:left w:val="none" w:sz="0" w:space="0" w:color="auto"/>
            <w:bottom w:val="none" w:sz="0" w:space="0" w:color="auto"/>
            <w:right w:val="none" w:sz="0" w:space="0" w:color="auto"/>
          </w:divBdr>
        </w:div>
        <w:div w:id="2030525368">
          <w:marLeft w:val="0"/>
          <w:marRight w:val="0"/>
          <w:marTop w:val="0"/>
          <w:marBottom w:val="0"/>
          <w:divBdr>
            <w:top w:val="none" w:sz="0" w:space="0" w:color="auto"/>
            <w:left w:val="none" w:sz="0" w:space="0" w:color="auto"/>
            <w:bottom w:val="none" w:sz="0" w:space="0" w:color="auto"/>
            <w:right w:val="none" w:sz="0" w:space="0" w:color="auto"/>
          </w:divBdr>
        </w:div>
        <w:div w:id="943998165">
          <w:marLeft w:val="0"/>
          <w:marRight w:val="0"/>
          <w:marTop w:val="0"/>
          <w:marBottom w:val="0"/>
          <w:divBdr>
            <w:top w:val="none" w:sz="0" w:space="0" w:color="auto"/>
            <w:left w:val="none" w:sz="0" w:space="0" w:color="auto"/>
            <w:bottom w:val="none" w:sz="0" w:space="0" w:color="auto"/>
            <w:right w:val="none" w:sz="0" w:space="0" w:color="auto"/>
          </w:divBdr>
        </w:div>
        <w:div w:id="1256398597">
          <w:marLeft w:val="0"/>
          <w:marRight w:val="0"/>
          <w:marTop w:val="0"/>
          <w:marBottom w:val="0"/>
          <w:divBdr>
            <w:top w:val="none" w:sz="0" w:space="0" w:color="auto"/>
            <w:left w:val="none" w:sz="0" w:space="0" w:color="auto"/>
            <w:bottom w:val="none" w:sz="0" w:space="0" w:color="auto"/>
            <w:right w:val="none" w:sz="0" w:space="0" w:color="auto"/>
          </w:divBdr>
        </w:div>
        <w:div w:id="126049479">
          <w:marLeft w:val="0"/>
          <w:marRight w:val="0"/>
          <w:marTop w:val="0"/>
          <w:marBottom w:val="0"/>
          <w:divBdr>
            <w:top w:val="none" w:sz="0" w:space="0" w:color="auto"/>
            <w:left w:val="none" w:sz="0" w:space="0" w:color="auto"/>
            <w:bottom w:val="none" w:sz="0" w:space="0" w:color="auto"/>
            <w:right w:val="none" w:sz="0" w:space="0" w:color="auto"/>
          </w:divBdr>
        </w:div>
        <w:div w:id="1520197725">
          <w:marLeft w:val="0"/>
          <w:marRight w:val="0"/>
          <w:marTop w:val="0"/>
          <w:marBottom w:val="0"/>
          <w:divBdr>
            <w:top w:val="none" w:sz="0" w:space="0" w:color="auto"/>
            <w:left w:val="none" w:sz="0" w:space="0" w:color="auto"/>
            <w:bottom w:val="none" w:sz="0" w:space="0" w:color="auto"/>
            <w:right w:val="none" w:sz="0" w:space="0" w:color="auto"/>
          </w:divBdr>
        </w:div>
        <w:div w:id="2025352845">
          <w:marLeft w:val="0"/>
          <w:marRight w:val="0"/>
          <w:marTop w:val="0"/>
          <w:marBottom w:val="0"/>
          <w:divBdr>
            <w:top w:val="none" w:sz="0" w:space="0" w:color="auto"/>
            <w:left w:val="none" w:sz="0" w:space="0" w:color="auto"/>
            <w:bottom w:val="none" w:sz="0" w:space="0" w:color="auto"/>
            <w:right w:val="none" w:sz="0" w:space="0" w:color="auto"/>
          </w:divBdr>
        </w:div>
        <w:div w:id="1227183046">
          <w:marLeft w:val="0"/>
          <w:marRight w:val="0"/>
          <w:marTop w:val="0"/>
          <w:marBottom w:val="0"/>
          <w:divBdr>
            <w:top w:val="none" w:sz="0" w:space="0" w:color="auto"/>
            <w:left w:val="none" w:sz="0" w:space="0" w:color="auto"/>
            <w:bottom w:val="none" w:sz="0" w:space="0" w:color="auto"/>
            <w:right w:val="none" w:sz="0" w:space="0" w:color="auto"/>
          </w:divBdr>
        </w:div>
        <w:div w:id="82722301">
          <w:marLeft w:val="0"/>
          <w:marRight w:val="0"/>
          <w:marTop w:val="0"/>
          <w:marBottom w:val="0"/>
          <w:divBdr>
            <w:top w:val="none" w:sz="0" w:space="0" w:color="auto"/>
            <w:left w:val="none" w:sz="0" w:space="0" w:color="auto"/>
            <w:bottom w:val="none" w:sz="0" w:space="0" w:color="auto"/>
            <w:right w:val="none" w:sz="0" w:space="0" w:color="auto"/>
          </w:divBdr>
        </w:div>
        <w:div w:id="651371084">
          <w:marLeft w:val="0"/>
          <w:marRight w:val="0"/>
          <w:marTop w:val="0"/>
          <w:marBottom w:val="0"/>
          <w:divBdr>
            <w:top w:val="none" w:sz="0" w:space="0" w:color="auto"/>
            <w:left w:val="none" w:sz="0" w:space="0" w:color="auto"/>
            <w:bottom w:val="none" w:sz="0" w:space="0" w:color="auto"/>
            <w:right w:val="none" w:sz="0" w:space="0" w:color="auto"/>
          </w:divBdr>
        </w:div>
        <w:div w:id="1606380583">
          <w:marLeft w:val="0"/>
          <w:marRight w:val="0"/>
          <w:marTop w:val="0"/>
          <w:marBottom w:val="0"/>
          <w:divBdr>
            <w:top w:val="none" w:sz="0" w:space="0" w:color="auto"/>
            <w:left w:val="none" w:sz="0" w:space="0" w:color="auto"/>
            <w:bottom w:val="none" w:sz="0" w:space="0" w:color="auto"/>
            <w:right w:val="none" w:sz="0" w:space="0" w:color="auto"/>
          </w:divBdr>
        </w:div>
        <w:div w:id="1230119880">
          <w:marLeft w:val="0"/>
          <w:marRight w:val="0"/>
          <w:marTop w:val="0"/>
          <w:marBottom w:val="0"/>
          <w:divBdr>
            <w:top w:val="none" w:sz="0" w:space="0" w:color="auto"/>
            <w:left w:val="none" w:sz="0" w:space="0" w:color="auto"/>
            <w:bottom w:val="none" w:sz="0" w:space="0" w:color="auto"/>
            <w:right w:val="none" w:sz="0" w:space="0" w:color="auto"/>
          </w:divBdr>
        </w:div>
        <w:div w:id="1111976664">
          <w:marLeft w:val="0"/>
          <w:marRight w:val="0"/>
          <w:marTop w:val="0"/>
          <w:marBottom w:val="0"/>
          <w:divBdr>
            <w:top w:val="none" w:sz="0" w:space="0" w:color="auto"/>
            <w:left w:val="none" w:sz="0" w:space="0" w:color="auto"/>
            <w:bottom w:val="none" w:sz="0" w:space="0" w:color="auto"/>
            <w:right w:val="none" w:sz="0" w:space="0" w:color="auto"/>
          </w:divBdr>
        </w:div>
        <w:div w:id="366413052">
          <w:marLeft w:val="0"/>
          <w:marRight w:val="0"/>
          <w:marTop w:val="0"/>
          <w:marBottom w:val="0"/>
          <w:divBdr>
            <w:top w:val="none" w:sz="0" w:space="0" w:color="auto"/>
            <w:left w:val="none" w:sz="0" w:space="0" w:color="auto"/>
            <w:bottom w:val="none" w:sz="0" w:space="0" w:color="auto"/>
            <w:right w:val="none" w:sz="0" w:space="0" w:color="auto"/>
          </w:divBdr>
        </w:div>
        <w:div w:id="1047417844">
          <w:marLeft w:val="0"/>
          <w:marRight w:val="0"/>
          <w:marTop w:val="0"/>
          <w:marBottom w:val="0"/>
          <w:divBdr>
            <w:top w:val="none" w:sz="0" w:space="0" w:color="auto"/>
            <w:left w:val="none" w:sz="0" w:space="0" w:color="auto"/>
            <w:bottom w:val="none" w:sz="0" w:space="0" w:color="auto"/>
            <w:right w:val="none" w:sz="0" w:space="0" w:color="auto"/>
          </w:divBdr>
        </w:div>
        <w:div w:id="1760373204">
          <w:marLeft w:val="0"/>
          <w:marRight w:val="0"/>
          <w:marTop w:val="0"/>
          <w:marBottom w:val="0"/>
          <w:divBdr>
            <w:top w:val="none" w:sz="0" w:space="0" w:color="auto"/>
            <w:left w:val="none" w:sz="0" w:space="0" w:color="auto"/>
            <w:bottom w:val="none" w:sz="0" w:space="0" w:color="auto"/>
            <w:right w:val="none" w:sz="0" w:space="0" w:color="auto"/>
          </w:divBdr>
        </w:div>
        <w:div w:id="1237588128">
          <w:marLeft w:val="0"/>
          <w:marRight w:val="0"/>
          <w:marTop w:val="0"/>
          <w:marBottom w:val="0"/>
          <w:divBdr>
            <w:top w:val="none" w:sz="0" w:space="0" w:color="auto"/>
            <w:left w:val="none" w:sz="0" w:space="0" w:color="auto"/>
            <w:bottom w:val="none" w:sz="0" w:space="0" w:color="auto"/>
            <w:right w:val="none" w:sz="0" w:space="0" w:color="auto"/>
          </w:divBdr>
        </w:div>
        <w:div w:id="1117145362">
          <w:marLeft w:val="0"/>
          <w:marRight w:val="0"/>
          <w:marTop w:val="0"/>
          <w:marBottom w:val="0"/>
          <w:divBdr>
            <w:top w:val="none" w:sz="0" w:space="0" w:color="auto"/>
            <w:left w:val="none" w:sz="0" w:space="0" w:color="auto"/>
            <w:bottom w:val="none" w:sz="0" w:space="0" w:color="auto"/>
            <w:right w:val="none" w:sz="0" w:space="0" w:color="auto"/>
          </w:divBdr>
        </w:div>
        <w:div w:id="1110782246">
          <w:marLeft w:val="0"/>
          <w:marRight w:val="0"/>
          <w:marTop w:val="0"/>
          <w:marBottom w:val="0"/>
          <w:divBdr>
            <w:top w:val="none" w:sz="0" w:space="0" w:color="auto"/>
            <w:left w:val="none" w:sz="0" w:space="0" w:color="auto"/>
            <w:bottom w:val="none" w:sz="0" w:space="0" w:color="auto"/>
            <w:right w:val="none" w:sz="0" w:space="0" w:color="auto"/>
          </w:divBdr>
        </w:div>
        <w:div w:id="198668276">
          <w:marLeft w:val="0"/>
          <w:marRight w:val="0"/>
          <w:marTop w:val="0"/>
          <w:marBottom w:val="0"/>
          <w:divBdr>
            <w:top w:val="none" w:sz="0" w:space="0" w:color="auto"/>
            <w:left w:val="none" w:sz="0" w:space="0" w:color="auto"/>
            <w:bottom w:val="none" w:sz="0" w:space="0" w:color="auto"/>
            <w:right w:val="none" w:sz="0" w:space="0" w:color="auto"/>
          </w:divBdr>
        </w:div>
        <w:div w:id="2137334151">
          <w:marLeft w:val="0"/>
          <w:marRight w:val="0"/>
          <w:marTop w:val="0"/>
          <w:marBottom w:val="0"/>
          <w:divBdr>
            <w:top w:val="none" w:sz="0" w:space="0" w:color="auto"/>
            <w:left w:val="none" w:sz="0" w:space="0" w:color="auto"/>
            <w:bottom w:val="none" w:sz="0" w:space="0" w:color="auto"/>
            <w:right w:val="none" w:sz="0" w:space="0" w:color="auto"/>
          </w:divBdr>
        </w:div>
        <w:div w:id="1165319816">
          <w:marLeft w:val="0"/>
          <w:marRight w:val="0"/>
          <w:marTop w:val="0"/>
          <w:marBottom w:val="0"/>
          <w:divBdr>
            <w:top w:val="none" w:sz="0" w:space="0" w:color="auto"/>
            <w:left w:val="none" w:sz="0" w:space="0" w:color="auto"/>
            <w:bottom w:val="none" w:sz="0" w:space="0" w:color="auto"/>
            <w:right w:val="none" w:sz="0" w:space="0" w:color="auto"/>
          </w:divBdr>
        </w:div>
        <w:div w:id="690028820">
          <w:marLeft w:val="0"/>
          <w:marRight w:val="0"/>
          <w:marTop w:val="0"/>
          <w:marBottom w:val="0"/>
          <w:divBdr>
            <w:top w:val="none" w:sz="0" w:space="0" w:color="auto"/>
            <w:left w:val="none" w:sz="0" w:space="0" w:color="auto"/>
            <w:bottom w:val="none" w:sz="0" w:space="0" w:color="auto"/>
            <w:right w:val="none" w:sz="0" w:space="0" w:color="auto"/>
          </w:divBdr>
        </w:div>
        <w:div w:id="1799837022">
          <w:marLeft w:val="0"/>
          <w:marRight w:val="0"/>
          <w:marTop w:val="0"/>
          <w:marBottom w:val="0"/>
          <w:divBdr>
            <w:top w:val="none" w:sz="0" w:space="0" w:color="auto"/>
            <w:left w:val="none" w:sz="0" w:space="0" w:color="auto"/>
            <w:bottom w:val="none" w:sz="0" w:space="0" w:color="auto"/>
            <w:right w:val="none" w:sz="0" w:space="0" w:color="auto"/>
          </w:divBdr>
        </w:div>
        <w:div w:id="390538165">
          <w:marLeft w:val="0"/>
          <w:marRight w:val="0"/>
          <w:marTop w:val="0"/>
          <w:marBottom w:val="0"/>
          <w:divBdr>
            <w:top w:val="none" w:sz="0" w:space="0" w:color="auto"/>
            <w:left w:val="none" w:sz="0" w:space="0" w:color="auto"/>
            <w:bottom w:val="none" w:sz="0" w:space="0" w:color="auto"/>
            <w:right w:val="none" w:sz="0" w:space="0" w:color="auto"/>
          </w:divBdr>
        </w:div>
        <w:div w:id="1507208955">
          <w:marLeft w:val="0"/>
          <w:marRight w:val="0"/>
          <w:marTop w:val="0"/>
          <w:marBottom w:val="0"/>
          <w:divBdr>
            <w:top w:val="none" w:sz="0" w:space="0" w:color="auto"/>
            <w:left w:val="none" w:sz="0" w:space="0" w:color="auto"/>
            <w:bottom w:val="none" w:sz="0" w:space="0" w:color="auto"/>
            <w:right w:val="none" w:sz="0" w:space="0" w:color="auto"/>
          </w:divBdr>
        </w:div>
        <w:div w:id="1873228412">
          <w:marLeft w:val="0"/>
          <w:marRight w:val="0"/>
          <w:marTop w:val="0"/>
          <w:marBottom w:val="0"/>
          <w:divBdr>
            <w:top w:val="none" w:sz="0" w:space="0" w:color="auto"/>
            <w:left w:val="none" w:sz="0" w:space="0" w:color="auto"/>
            <w:bottom w:val="none" w:sz="0" w:space="0" w:color="auto"/>
            <w:right w:val="none" w:sz="0" w:space="0" w:color="auto"/>
          </w:divBdr>
        </w:div>
        <w:div w:id="1381392695">
          <w:marLeft w:val="0"/>
          <w:marRight w:val="0"/>
          <w:marTop w:val="0"/>
          <w:marBottom w:val="0"/>
          <w:divBdr>
            <w:top w:val="none" w:sz="0" w:space="0" w:color="auto"/>
            <w:left w:val="none" w:sz="0" w:space="0" w:color="auto"/>
            <w:bottom w:val="none" w:sz="0" w:space="0" w:color="auto"/>
            <w:right w:val="none" w:sz="0" w:space="0" w:color="auto"/>
          </w:divBdr>
        </w:div>
        <w:div w:id="398133229">
          <w:marLeft w:val="0"/>
          <w:marRight w:val="0"/>
          <w:marTop w:val="0"/>
          <w:marBottom w:val="0"/>
          <w:divBdr>
            <w:top w:val="none" w:sz="0" w:space="0" w:color="auto"/>
            <w:left w:val="none" w:sz="0" w:space="0" w:color="auto"/>
            <w:bottom w:val="none" w:sz="0" w:space="0" w:color="auto"/>
            <w:right w:val="none" w:sz="0" w:space="0" w:color="auto"/>
          </w:divBdr>
        </w:div>
        <w:div w:id="718475860">
          <w:marLeft w:val="0"/>
          <w:marRight w:val="0"/>
          <w:marTop w:val="0"/>
          <w:marBottom w:val="0"/>
          <w:divBdr>
            <w:top w:val="none" w:sz="0" w:space="0" w:color="auto"/>
            <w:left w:val="none" w:sz="0" w:space="0" w:color="auto"/>
            <w:bottom w:val="none" w:sz="0" w:space="0" w:color="auto"/>
            <w:right w:val="none" w:sz="0" w:space="0" w:color="auto"/>
          </w:divBdr>
        </w:div>
        <w:div w:id="676152720">
          <w:marLeft w:val="0"/>
          <w:marRight w:val="0"/>
          <w:marTop w:val="0"/>
          <w:marBottom w:val="0"/>
          <w:divBdr>
            <w:top w:val="none" w:sz="0" w:space="0" w:color="auto"/>
            <w:left w:val="none" w:sz="0" w:space="0" w:color="auto"/>
            <w:bottom w:val="none" w:sz="0" w:space="0" w:color="auto"/>
            <w:right w:val="none" w:sz="0" w:space="0" w:color="auto"/>
          </w:divBdr>
        </w:div>
        <w:div w:id="1316450924">
          <w:marLeft w:val="0"/>
          <w:marRight w:val="0"/>
          <w:marTop w:val="0"/>
          <w:marBottom w:val="0"/>
          <w:divBdr>
            <w:top w:val="none" w:sz="0" w:space="0" w:color="auto"/>
            <w:left w:val="none" w:sz="0" w:space="0" w:color="auto"/>
            <w:bottom w:val="none" w:sz="0" w:space="0" w:color="auto"/>
            <w:right w:val="none" w:sz="0" w:space="0" w:color="auto"/>
          </w:divBdr>
        </w:div>
        <w:div w:id="1381590795">
          <w:marLeft w:val="0"/>
          <w:marRight w:val="0"/>
          <w:marTop w:val="0"/>
          <w:marBottom w:val="0"/>
          <w:divBdr>
            <w:top w:val="none" w:sz="0" w:space="0" w:color="auto"/>
            <w:left w:val="none" w:sz="0" w:space="0" w:color="auto"/>
            <w:bottom w:val="none" w:sz="0" w:space="0" w:color="auto"/>
            <w:right w:val="none" w:sz="0" w:space="0" w:color="auto"/>
          </w:divBdr>
        </w:div>
        <w:div w:id="828330389">
          <w:marLeft w:val="0"/>
          <w:marRight w:val="0"/>
          <w:marTop w:val="0"/>
          <w:marBottom w:val="0"/>
          <w:divBdr>
            <w:top w:val="none" w:sz="0" w:space="0" w:color="auto"/>
            <w:left w:val="none" w:sz="0" w:space="0" w:color="auto"/>
            <w:bottom w:val="none" w:sz="0" w:space="0" w:color="auto"/>
            <w:right w:val="none" w:sz="0" w:space="0" w:color="auto"/>
          </w:divBdr>
        </w:div>
        <w:div w:id="1501895972">
          <w:marLeft w:val="0"/>
          <w:marRight w:val="0"/>
          <w:marTop w:val="0"/>
          <w:marBottom w:val="0"/>
          <w:divBdr>
            <w:top w:val="none" w:sz="0" w:space="0" w:color="auto"/>
            <w:left w:val="none" w:sz="0" w:space="0" w:color="auto"/>
            <w:bottom w:val="none" w:sz="0" w:space="0" w:color="auto"/>
            <w:right w:val="none" w:sz="0" w:space="0" w:color="auto"/>
          </w:divBdr>
        </w:div>
        <w:div w:id="35013864">
          <w:marLeft w:val="0"/>
          <w:marRight w:val="0"/>
          <w:marTop w:val="0"/>
          <w:marBottom w:val="0"/>
          <w:divBdr>
            <w:top w:val="none" w:sz="0" w:space="0" w:color="auto"/>
            <w:left w:val="none" w:sz="0" w:space="0" w:color="auto"/>
            <w:bottom w:val="none" w:sz="0" w:space="0" w:color="auto"/>
            <w:right w:val="none" w:sz="0" w:space="0" w:color="auto"/>
          </w:divBdr>
        </w:div>
        <w:div w:id="545609147">
          <w:marLeft w:val="0"/>
          <w:marRight w:val="0"/>
          <w:marTop w:val="0"/>
          <w:marBottom w:val="0"/>
          <w:divBdr>
            <w:top w:val="none" w:sz="0" w:space="0" w:color="auto"/>
            <w:left w:val="none" w:sz="0" w:space="0" w:color="auto"/>
            <w:bottom w:val="none" w:sz="0" w:space="0" w:color="auto"/>
            <w:right w:val="none" w:sz="0" w:space="0" w:color="auto"/>
          </w:divBdr>
        </w:div>
        <w:div w:id="2098092486">
          <w:marLeft w:val="0"/>
          <w:marRight w:val="0"/>
          <w:marTop w:val="0"/>
          <w:marBottom w:val="0"/>
          <w:divBdr>
            <w:top w:val="none" w:sz="0" w:space="0" w:color="auto"/>
            <w:left w:val="none" w:sz="0" w:space="0" w:color="auto"/>
            <w:bottom w:val="none" w:sz="0" w:space="0" w:color="auto"/>
            <w:right w:val="none" w:sz="0" w:space="0" w:color="auto"/>
          </w:divBdr>
        </w:div>
        <w:div w:id="527910090">
          <w:marLeft w:val="0"/>
          <w:marRight w:val="0"/>
          <w:marTop w:val="0"/>
          <w:marBottom w:val="0"/>
          <w:divBdr>
            <w:top w:val="none" w:sz="0" w:space="0" w:color="auto"/>
            <w:left w:val="none" w:sz="0" w:space="0" w:color="auto"/>
            <w:bottom w:val="none" w:sz="0" w:space="0" w:color="auto"/>
            <w:right w:val="none" w:sz="0" w:space="0" w:color="auto"/>
          </w:divBdr>
        </w:div>
        <w:div w:id="173805880">
          <w:marLeft w:val="0"/>
          <w:marRight w:val="0"/>
          <w:marTop w:val="0"/>
          <w:marBottom w:val="0"/>
          <w:divBdr>
            <w:top w:val="none" w:sz="0" w:space="0" w:color="auto"/>
            <w:left w:val="none" w:sz="0" w:space="0" w:color="auto"/>
            <w:bottom w:val="none" w:sz="0" w:space="0" w:color="auto"/>
            <w:right w:val="none" w:sz="0" w:space="0" w:color="auto"/>
          </w:divBdr>
        </w:div>
        <w:div w:id="565456494">
          <w:marLeft w:val="0"/>
          <w:marRight w:val="0"/>
          <w:marTop w:val="0"/>
          <w:marBottom w:val="0"/>
          <w:divBdr>
            <w:top w:val="none" w:sz="0" w:space="0" w:color="auto"/>
            <w:left w:val="none" w:sz="0" w:space="0" w:color="auto"/>
            <w:bottom w:val="none" w:sz="0" w:space="0" w:color="auto"/>
            <w:right w:val="none" w:sz="0" w:space="0" w:color="auto"/>
          </w:divBdr>
        </w:div>
        <w:div w:id="1522278415">
          <w:marLeft w:val="0"/>
          <w:marRight w:val="0"/>
          <w:marTop w:val="0"/>
          <w:marBottom w:val="0"/>
          <w:divBdr>
            <w:top w:val="none" w:sz="0" w:space="0" w:color="auto"/>
            <w:left w:val="none" w:sz="0" w:space="0" w:color="auto"/>
            <w:bottom w:val="none" w:sz="0" w:space="0" w:color="auto"/>
            <w:right w:val="none" w:sz="0" w:space="0" w:color="auto"/>
          </w:divBdr>
        </w:div>
        <w:div w:id="36272917">
          <w:marLeft w:val="0"/>
          <w:marRight w:val="0"/>
          <w:marTop w:val="0"/>
          <w:marBottom w:val="0"/>
          <w:divBdr>
            <w:top w:val="none" w:sz="0" w:space="0" w:color="auto"/>
            <w:left w:val="none" w:sz="0" w:space="0" w:color="auto"/>
            <w:bottom w:val="none" w:sz="0" w:space="0" w:color="auto"/>
            <w:right w:val="none" w:sz="0" w:space="0" w:color="auto"/>
          </w:divBdr>
        </w:div>
        <w:div w:id="2121297699">
          <w:marLeft w:val="0"/>
          <w:marRight w:val="0"/>
          <w:marTop w:val="0"/>
          <w:marBottom w:val="0"/>
          <w:divBdr>
            <w:top w:val="none" w:sz="0" w:space="0" w:color="auto"/>
            <w:left w:val="none" w:sz="0" w:space="0" w:color="auto"/>
            <w:bottom w:val="none" w:sz="0" w:space="0" w:color="auto"/>
            <w:right w:val="none" w:sz="0" w:space="0" w:color="auto"/>
          </w:divBdr>
        </w:div>
        <w:div w:id="763962351">
          <w:marLeft w:val="0"/>
          <w:marRight w:val="0"/>
          <w:marTop w:val="0"/>
          <w:marBottom w:val="0"/>
          <w:divBdr>
            <w:top w:val="none" w:sz="0" w:space="0" w:color="auto"/>
            <w:left w:val="none" w:sz="0" w:space="0" w:color="auto"/>
            <w:bottom w:val="none" w:sz="0" w:space="0" w:color="auto"/>
            <w:right w:val="none" w:sz="0" w:space="0" w:color="auto"/>
          </w:divBdr>
        </w:div>
        <w:div w:id="448276702">
          <w:marLeft w:val="0"/>
          <w:marRight w:val="0"/>
          <w:marTop w:val="0"/>
          <w:marBottom w:val="0"/>
          <w:divBdr>
            <w:top w:val="none" w:sz="0" w:space="0" w:color="auto"/>
            <w:left w:val="none" w:sz="0" w:space="0" w:color="auto"/>
            <w:bottom w:val="none" w:sz="0" w:space="0" w:color="auto"/>
            <w:right w:val="none" w:sz="0" w:space="0" w:color="auto"/>
          </w:divBdr>
        </w:div>
        <w:div w:id="1876455033">
          <w:marLeft w:val="0"/>
          <w:marRight w:val="0"/>
          <w:marTop w:val="0"/>
          <w:marBottom w:val="0"/>
          <w:divBdr>
            <w:top w:val="none" w:sz="0" w:space="0" w:color="auto"/>
            <w:left w:val="none" w:sz="0" w:space="0" w:color="auto"/>
            <w:bottom w:val="none" w:sz="0" w:space="0" w:color="auto"/>
            <w:right w:val="none" w:sz="0" w:space="0" w:color="auto"/>
          </w:divBdr>
        </w:div>
        <w:div w:id="1023091565">
          <w:marLeft w:val="0"/>
          <w:marRight w:val="0"/>
          <w:marTop w:val="0"/>
          <w:marBottom w:val="0"/>
          <w:divBdr>
            <w:top w:val="none" w:sz="0" w:space="0" w:color="auto"/>
            <w:left w:val="none" w:sz="0" w:space="0" w:color="auto"/>
            <w:bottom w:val="none" w:sz="0" w:space="0" w:color="auto"/>
            <w:right w:val="none" w:sz="0" w:space="0" w:color="auto"/>
          </w:divBdr>
        </w:div>
        <w:div w:id="822045859">
          <w:marLeft w:val="0"/>
          <w:marRight w:val="0"/>
          <w:marTop w:val="0"/>
          <w:marBottom w:val="0"/>
          <w:divBdr>
            <w:top w:val="none" w:sz="0" w:space="0" w:color="auto"/>
            <w:left w:val="none" w:sz="0" w:space="0" w:color="auto"/>
            <w:bottom w:val="none" w:sz="0" w:space="0" w:color="auto"/>
            <w:right w:val="none" w:sz="0" w:space="0" w:color="auto"/>
          </w:divBdr>
        </w:div>
        <w:div w:id="1144468782">
          <w:marLeft w:val="0"/>
          <w:marRight w:val="0"/>
          <w:marTop w:val="0"/>
          <w:marBottom w:val="0"/>
          <w:divBdr>
            <w:top w:val="none" w:sz="0" w:space="0" w:color="auto"/>
            <w:left w:val="none" w:sz="0" w:space="0" w:color="auto"/>
            <w:bottom w:val="none" w:sz="0" w:space="0" w:color="auto"/>
            <w:right w:val="none" w:sz="0" w:space="0" w:color="auto"/>
          </w:divBdr>
        </w:div>
        <w:div w:id="841627206">
          <w:marLeft w:val="0"/>
          <w:marRight w:val="0"/>
          <w:marTop w:val="0"/>
          <w:marBottom w:val="0"/>
          <w:divBdr>
            <w:top w:val="none" w:sz="0" w:space="0" w:color="auto"/>
            <w:left w:val="none" w:sz="0" w:space="0" w:color="auto"/>
            <w:bottom w:val="none" w:sz="0" w:space="0" w:color="auto"/>
            <w:right w:val="none" w:sz="0" w:space="0" w:color="auto"/>
          </w:divBdr>
        </w:div>
        <w:div w:id="961807546">
          <w:marLeft w:val="0"/>
          <w:marRight w:val="0"/>
          <w:marTop w:val="0"/>
          <w:marBottom w:val="0"/>
          <w:divBdr>
            <w:top w:val="none" w:sz="0" w:space="0" w:color="auto"/>
            <w:left w:val="none" w:sz="0" w:space="0" w:color="auto"/>
            <w:bottom w:val="none" w:sz="0" w:space="0" w:color="auto"/>
            <w:right w:val="none" w:sz="0" w:space="0" w:color="auto"/>
          </w:divBdr>
        </w:div>
        <w:div w:id="1778868138">
          <w:marLeft w:val="0"/>
          <w:marRight w:val="0"/>
          <w:marTop w:val="0"/>
          <w:marBottom w:val="0"/>
          <w:divBdr>
            <w:top w:val="none" w:sz="0" w:space="0" w:color="auto"/>
            <w:left w:val="none" w:sz="0" w:space="0" w:color="auto"/>
            <w:bottom w:val="none" w:sz="0" w:space="0" w:color="auto"/>
            <w:right w:val="none" w:sz="0" w:space="0" w:color="auto"/>
          </w:divBdr>
        </w:div>
        <w:div w:id="769860694">
          <w:marLeft w:val="0"/>
          <w:marRight w:val="0"/>
          <w:marTop w:val="0"/>
          <w:marBottom w:val="0"/>
          <w:divBdr>
            <w:top w:val="none" w:sz="0" w:space="0" w:color="auto"/>
            <w:left w:val="none" w:sz="0" w:space="0" w:color="auto"/>
            <w:bottom w:val="none" w:sz="0" w:space="0" w:color="auto"/>
            <w:right w:val="none" w:sz="0" w:space="0" w:color="auto"/>
          </w:divBdr>
        </w:div>
        <w:div w:id="107969512">
          <w:marLeft w:val="0"/>
          <w:marRight w:val="0"/>
          <w:marTop w:val="0"/>
          <w:marBottom w:val="0"/>
          <w:divBdr>
            <w:top w:val="none" w:sz="0" w:space="0" w:color="auto"/>
            <w:left w:val="none" w:sz="0" w:space="0" w:color="auto"/>
            <w:bottom w:val="none" w:sz="0" w:space="0" w:color="auto"/>
            <w:right w:val="none" w:sz="0" w:space="0" w:color="auto"/>
          </w:divBdr>
        </w:div>
        <w:div w:id="315031798">
          <w:marLeft w:val="0"/>
          <w:marRight w:val="0"/>
          <w:marTop w:val="0"/>
          <w:marBottom w:val="0"/>
          <w:divBdr>
            <w:top w:val="none" w:sz="0" w:space="0" w:color="auto"/>
            <w:left w:val="none" w:sz="0" w:space="0" w:color="auto"/>
            <w:bottom w:val="none" w:sz="0" w:space="0" w:color="auto"/>
            <w:right w:val="none" w:sz="0" w:space="0" w:color="auto"/>
          </w:divBdr>
        </w:div>
        <w:div w:id="1938173359">
          <w:marLeft w:val="0"/>
          <w:marRight w:val="0"/>
          <w:marTop w:val="0"/>
          <w:marBottom w:val="0"/>
          <w:divBdr>
            <w:top w:val="none" w:sz="0" w:space="0" w:color="auto"/>
            <w:left w:val="none" w:sz="0" w:space="0" w:color="auto"/>
            <w:bottom w:val="none" w:sz="0" w:space="0" w:color="auto"/>
            <w:right w:val="none" w:sz="0" w:space="0" w:color="auto"/>
          </w:divBdr>
        </w:div>
        <w:div w:id="403533587">
          <w:marLeft w:val="0"/>
          <w:marRight w:val="0"/>
          <w:marTop w:val="0"/>
          <w:marBottom w:val="0"/>
          <w:divBdr>
            <w:top w:val="none" w:sz="0" w:space="0" w:color="auto"/>
            <w:left w:val="none" w:sz="0" w:space="0" w:color="auto"/>
            <w:bottom w:val="none" w:sz="0" w:space="0" w:color="auto"/>
            <w:right w:val="none" w:sz="0" w:space="0" w:color="auto"/>
          </w:divBdr>
        </w:div>
        <w:div w:id="1465006953">
          <w:marLeft w:val="0"/>
          <w:marRight w:val="0"/>
          <w:marTop w:val="0"/>
          <w:marBottom w:val="0"/>
          <w:divBdr>
            <w:top w:val="none" w:sz="0" w:space="0" w:color="auto"/>
            <w:left w:val="none" w:sz="0" w:space="0" w:color="auto"/>
            <w:bottom w:val="none" w:sz="0" w:space="0" w:color="auto"/>
            <w:right w:val="none" w:sz="0" w:space="0" w:color="auto"/>
          </w:divBdr>
        </w:div>
        <w:div w:id="1024939719">
          <w:marLeft w:val="0"/>
          <w:marRight w:val="0"/>
          <w:marTop w:val="0"/>
          <w:marBottom w:val="0"/>
          <w:divBdr>
            <w:top w:val="none" w:sz="0" w:space="0" w:color="auto"/>
            <w:left w:val="none" w:sz="0" w:space="0" w:color="auto"/>
            <w:bottom w:val="none" w:sz="0" w:space="0" w:color="auto"/>
            <w:right w:val="none" w:sz="0" w:space="0" w:color="auto"/>
          </w:divBdr>
        </w:div>
        <w:div w:id="937326222">
          <w:marLeft w:val="0"/>
          <w:marRight w:val="0"/>
          <w:marTop w:val="0"/>
          <w:marBottom w:val="0"/>
          <w:divBdr>
            <w:top w:val="none" w:sz="0" w:space="0" w:color="auto"/>
            <w:left w:val="none" w:sz="0" w:space="0" w:color="auto"/>
            <w:bottom w:val="none" w:sz="0" w:space="0" w:color="auto"/>
            <w:right w:val="none" w:sz="0" w:space="0" w:color="auto"/>
          </w:divBdr>
        </w:div>
        <w:div w:id="1369842393">
          <w:marLeft w:val="0"/>
          <w:marRight w:val="0"/>
          <w:marTop w:val="0"/>
          <w:marBottom w:val="0"/>
          <w:divBdr>
            <w:top w:val="none" w:sz="0" w:space="0" w:color="auto"/>
            <w:left w:val="none" w:sz="0" w:space="0" w:color="auto"/>
            <w:bottom w:val="none" w:sz="0" w:space="0" w:color="auto"/>
            <w:right w:val="none" w:sz="0" w:space="0" w:color="auto"/>
          </w:divBdr>
        </w:div>
        <w:div w:id="1817380665">
          <w:marLeft w:val="0"/>
          <w:marRight w:val="0"/>
          <w:marTop w:val="0"/>
          <w:marBottom w:val="0"/>
          <w:divBdr>
            <w:top w:val="none" w:sz="0" w:space="0" w:color="auto"/>
            <w:left w:val="none" w:sz="0" w:space="0" w:color="auto"/>
            <w:bottom w:val="none" w:sz="0" w:space="0" w:color="auto"/>
            <w:right w:val="none" w:sz="0" w:space="0" w:color="auto"/>
          </w:divBdr>
        </w:div>
        <w:div w:id="681128676">
          <w:marLeft w:val="0"/>
          <w:marRight w:val="0"/>
          <w:marTop w:val="0"/>
          <w:marBottom w:val="0"/>
          <w:divBdr>
            <w:top w:val="none" w:sz="0" w:space="0" w:color="auto"/>
            <w:left w:val="none" w:sz="0" w:space="0" w:color="auto"/>
            <w:bottom w:val="none" w:sz="0" w:space="0" w:color="auto"/>
            <w:right w:val="none" w:sz="0" w:space="0" w:color="auto"/>
          </w:divBdr>
        </w:div>
        <w:div w:id="1507475866">
          <w:marLeft w:val="0"/>
          <w:marRight w:val="0"/>
          <w:marTop w:val="0"/>
          <w:marBottom w:val="0"/>
          <w:divBdr>
            <w:top w:val="none" w:sz="0" w:space="0" w:color="auto"/>
            <w:left w:val="none" w:sz="0" w:space="0" w:color="auto"/>
            <w:bottom w:val="none" w:sz="0" w:space="0" w:color="auto"/>
            <w:right w:val="none" w:sz="0" w:space="0" w:color="auto"/>
          </w:divBdr>
        </w:div>
        <w:div w:id="1451850821">
          <w:marLeft w:val="0"/>
          <w:marRight w:val="0"/>
          <w:marTop w:val="0"/>
          <w:marBottom w:val="0"/>
          <w:divBdr>
            <w:top w:val="none" w:sz="0" w:space="0" w:color="auto"/>
            <w:left w:val="none" w:sz="0" w:space="0" w:color="auto"/>
            <w:bottom w:val="none" w:sz="0" w:space="0" w:color="auto"/>
            <w:right w:val="none" w:sz="0" w:space="0" w:color="auto"/>
          </w:divBdr>
        </w:div>
        <w:div w:id="542787140">
          <w:marLeft w:val="0"/>
          <w:marRight w:val="0"/>
          <w:marTop w:val="0"/>
          <w:marBottom w:val="0"/>
          <w:divBdr>
            <w:top w:val="none" w:sz="0" w:space="0" w:color="auto"/>
            <w:left w:val="none" w:sz="0" w:space="0" w:color="auto"/>
            <w:bottom w:val="none" w:sz="0" w:space="0" w:color="auto"/>
            <w:right w:val="none" w:sz="0" w:space="0" w:color="auto"/>
          </w:divBdr>
        </w:div>
        <w:div w:id="1185750150">
          <w:marLeft w:val="0"/>
          <w:marRight w:val="0"/>
          <w:marTop w:val="0"/>
          <w:marBottom w:val="0"/>
          <w:divBdr>
            <w:top w:val="none" w:sz="0" w:space="0" w:color="auto"/>
            <w:left w:val="none" w:sz="0" w:space="0" w:color="auto"/>
            <w:bottom w:val="none" w:sz="0" w:space="0" w:color="auto"/>
            <w:right w:val="none" w:sz="0" w:space="0" w:color="auto"/>
          </w:divBdr>
        </w:div>
        <w:div w:id="1157693983">
          <w:marLeft w:val="0"/>
          <w:marRight w:val="0"/>
          <w:marTop w:val="0"/>
          <w:marBottom w:val="0"/>
          <w:divBdr>
            <w:top w:val="none" w:sz="0" w:space="0" w:color="auto"/>
            <w:left w:val="none" w:sz="0" w:space="0" w:color="auto"/>
            <w:bottom w:val="none" w:sz="0" w:space="0" w:color="auto"/>
            <w:right w:val="none" w:sz="0" w:space="0" w:color="auto"/>
          </w:divBdr>
        </w:div>
        <w:div w:id="1525752312">
          <w:marLeft w:val="0"/>
          <w:marRight w:val="0"/>
          <w:marTop w:val="0"/>
          <w:marBottom w:val="0"/>
          <w:divBdr>
            <w:top w:val="none" w:sz="0" w:space="0" w:color="auto"/>
            <w:left w:val="none" w:sz="0" w:space="0" w:color="auto"/>
            <w:bottom w:val="none" w:sz="0" w:space="0" w:color="auto"/>
            <w:right w:val="none" w:sz="0" w:space="0" w:color="auto"/>
          </w:divBdr>
        </w:div>
        <w:div w:id="1248224692">
          <w:marLeft w:val="0"/>
          <w:marRight w:val="0"/>
          <w:marTop w:val="0"/>
          <w:marBottom w:val="0"/>
          <w:divBdr>
            <w:top w:val="none" w:sz="0" w:space="0" w:color="auto"/>
            <w:left w:val="none" w:sz="0" w:space="0" w:color="auto"/>
            <w:bottom w:val="none" w:sz="0" w:space="0" w:color="auto"/>
            <w:right w:val="none" w:sz="0" w:space="0" w:color="auto"/>
          </w:divBdr>
        </w:div>
        <w:div w:id="1269971882">
          <w:marLeft w:val="0"/>
          <w:marRight w:val="0"/>
          <w:marTop w:val="0"/>
          <w:marBottom w:val="0"/>
          <w:divBdr>
            <w:top w:val="none" w:sz="0" w:space="0" w:color="auto"/>
            <w:left w:val="none" w:sz="0" w:space="0" w:color="auto"/>
            <w:bottom w:val="none" w:sz="0" w:space="0" w:color="auto"/>
            <w:right w:val="none" w:sz="0" w:space="0" w:color="auto"/>
          </w:divBdr>
        </w:div>
        <w:div w:id="1993873640">
          <w:marLeft w:val="0"/>
          <w:marRight w:val="0"/>
          <w:marTop w:val="0"/>
          <w:marBottom w:val="0"/>
          <w:divBdr>
            <w:top w:val="none" w:sz="0" w:space="0" w:color="auto"/>
            <w:left w:val="none" w:sz="0" w:space="0" w:color="auto"/>
            <w:bottom w:val="none" w:sz="0" w:space="0" w:color="auto"/>
            <w:right w:val="none" w:sz="0" w:space="0" w:color="auto"/>
          </w:divBdr>
        </w:div>
        <w:div w:id="230238581">
          <w:marLeft w:val="0"/>
          <w:marRight w:val="0"/>
          <w:marTop w:val="0"/>
          <w:marBottom w:val="0"/>
          <w:divBdr>
            <w:top w:val="none" w:sz="0" w:space="0" w:color="auto"/>
            <w:left w:val="none" w:sz="0" w:space="0" w:color="auto"/>
            <w:bottom w:val="none" w:sz="0" w:space="0" w:color="auto"/>
            <w:right w:val="none" w:sz="0" w:space="0" w:color="auto"/>
          </w:divBdr>
        </w:div>
        <w:div w:id="331837948">
          <w:marLeft w:val="0"/>
          <w:marRight w:val="0"/>
          <w:marTop w:val="0"/>
          <w:marBottom w:val="0"/>
          <w:divBdr>
            <w:top w:val="none" w:sz="0" w:space="0" w:color="auto"/>
            <w:left w:val="none" w:sz="0" w:space="0" w:color="auto"/>
            <w:bottom w:val="none" w:sz="0" w:space="0" w:color="auto"/>
            <w:right w:val="none" w:sz="0" w:space="0" w:color="auto"/>
          </w:divBdr>
        </w:div>
        <w:div w:id="1962614260">
          <w:marLeft w:val="0"/>
          <w:marRight w:val="0"/>
          <w:marTop w:val="0"/>
          <w:marBottom w:val="0"/>
          <w:divBdr>
            <w:top w:val="none" w:sz="0" w:space="0" w:color="auto"/>
            <w:left w:val="none" w:sz="0" w:space="0" w:color="auto"/>
            <w:bottom w:val="none" w:sz="0" w:space="0" w:color="auto"/>
            <w:right w:val="none" w:sz="0" w:space="0" w:color="auto"/>
          </w:divBdr>
        </w:div>
        <w:div w:id="443618559">
          <w:marLeft w:val="0"/>
          <w:marRight w:val="0"/>
          <w:marTop w:val="0"/>
          <w:marBottom w:val="0"/>
          <w:divBdr>
            <w:top w:val="none" w:sz="0" w:space="0" w:color="auto"/>
            <w:left w:val="none" w:sz="0" w:space="0" w:color="auto"/>
            <w:bottom w:val="none" w:sz="0" w:space="0" w:color="auto"/>
            <w:right w:val="none" w:sz="0" w:space="0" w:color="auto"/>
          </w:divBdr>
        </w:div>
        <w:div w:id="158812471">
          <w:marLeft w:val="0"/>
          <w:marRight w:val="0"/>
          <w:marTop w:val="0"/>
          <w:marBottom w:val="0"/>
          <w:divBdr>
            <w:top w:val="none" w:sz="0" w:space="0" w:color="auto"/>
            <w:left w:val="none" w:sz="0" w:space="0" w:color="auto"/>
            <w:bottom w:val="none" w:sz="0" w:space="0" w:color="auto"/>
            <w:right w:val="none" w:sz="0" w:space="0" w:color="auto"/>
          </w:divBdr>
        </w:div>
        <w:div w:id="1323586087">
          <w:marLeft w:val="0"/>
          <w:marRight w:val="0"/>
          <w:marTop w:val="0"/>
          <w:marBottom w:val="0"/>
          <w:divBdr>
            <w:top w:val="none" w:sz="0" w:space="0" w:color="auto"/>
            <w:left w:val="none" w:sz="0" w:space="0" w:color="auto"/>
            <w:bottom w:val="none" w:sz="0" w:space="0" w:color="auto"/>
            <w:right w:val="none" w:sz="0" w:space="0" w:color="auto"/>
          </w:divBdr>
        </w:div>
        <w:div w:id="1110008245">
          <w:marLeft w:val="0"/>
          <w:marRight w:val="0"/>
          <w:marTop w:val="0"/>
          <w:marBottom w:val="0"/>
          <w:divBdr>
            <w:top w:val="none" w:sz="0" w:space="0" w:color="auto"/>
            <w:left w:val="none" w:sz="0" w:space="0" w:color="auto"/>
            <w:bottom w:val="none" w:sz="0" w:space="0" w:color="auto"/>
            <w:right w:val="none" w:sz="0" w:space="0" w:color="auto"/>
          </w:divBdr>
        </w:div>
        <w:div w:id="2132092663">
          <w:marLeft w:val="0"/>
          <w:marRight w:val="0"/>
          <w:marTop w:val="0"/>
          <w:marBottom w:val="0"/>
          <w:divBdr>
            <w:top w:val="none" w:sz="0" w:space="0" w:color="auto"/>
            <w:left w:val="none" w:sz="0" w:space="0" w:color="auto"/>
            <w:bottom w:val="none" w:sz="0" w:space="0" w:color="auto"/>
            <w:right w:val="none" w:sz="0" w:space="0" w:color="auto"/>
          </w:divBdr>
        </w:div>
        <w:div w:id="1539510850">
          <w:marLeft w:val="0"/>
          <w:marRight w:val="0"/>
          <w:marTop w:val="0"/>
          <w:marBottom w:val="0"/>
          <w:divBdr>
            <w:top w:val="none" w:sz="0" w:space="0" w:color="auto"/>
            <w:left w:val="none" w:sz="0" w:space="0" w:color="auto"/>
            <w:bottom w:val="none" w:sz="0" w:space="0" w:color="auto"/>
            <w:right w:val="none" w:sz="0" w:space="0" w:color="auto"/>
          </w:divBdr>
        </w:div>
        <w:div w:id="2069377289">
          <w:marLeft w:val="0"/>
          <w:marRight w:val="0"/>
          <w:marTop w:val="0"/>
          <w:marBottom w:val="0"/>
          <w:divBdr>
            <w:top w:val="none" w:sz="0" w:space="0" w:color="auto"/>
            <w:left w:val="none" w:sz="0" w:space="0" w:color="auto"/>
            <w:bottom w:val="none" w:sz="0" w:space="0" w:color="auto"/>
            <w:right w:val="none" w:sz="0" w:space="0" w:color="auto"/>
          </w:divBdr>
        </w:div>
        <w:div w:id="1127549206">
          <w:marLeft w:val="0"/>
          <w:marRight w:val="0"/>
          <w:marTop w:val="0"/>
          <w:marBottom w:val="0"/>
          <w:divBdr>
            <w:top w:val="none" w:sz="0" w:space="0" w:color="auto"/>
            <w:left w:val="none" w:sz="0" w:space="0" w:color="auto"/>
            <w:bottom w:val="none" w:sz="0" w:space="0" w:color="auto"/>
            <w:right w:val="none" w:sz="0" w:space="0" w:color="auto"/>
          </w:divBdr>
        </w:div>
        <w:div w:id="582757889">
          <w:marLeft w:val="0"/>
          <w:marRight w:val="0"/>
          <w:marTop w:val="0"/>
          <w:marBottom w:val="0"/>
          <w:divBdr>
            <w:top w:val="none" w:sz="0" w:space="0" w:color="auto"/>
            <w:left w:val="none" w:sz="0" w:space="0" w:color="auto"/>
            <w:bottom w:val="none" w:sz="0" w:space="0" w:color="auto"/>
            <w:right w:val="none" w:sz="0" w:space="0" w:color="auto"/>
          </w:divBdr>
        </w:div>
        <w:div w:id="74939956">
          <w:marLeft w:val="0"/>
          <w:marRight w:val="0"/>
          <w:marTop w:val="0"/>
          <w:marBottom w:val="0"/>
          <w:divBdr>
            <w:top w:val="none" w:sz="0" w:space="0" w:color="auto"/>
            <w:left w:val="none" w:sz="0" w:space="0" w:color="auto"/>
            <w:bottom w:val="none" w:sz="0" w:space="0" w:color="auto"/>
            <w:right w:val="none" w:sz="0" w:space="0" w:color="auto"/>
          </w:divBdr>
        </w:div>
        <w:div w:id="1313946192">
          <w:marLeft w:val="0"/>
          <w:marRight w:val="0"/>
          <w:marTop w:val="0"/>
          <w:marBottom w:val="0"/>
          <w:divBdr>
            <w:top w:val="none" w:sz="0" w:space="0" w:color="auto"/>
            <w:left w:val="none" w:sz="0" w:space="0" w:color="auto"/>
            <w:bottom w:val="none" w:sz="0" w:space="0" w:color="auto"/>
            <w:right w:val="none" w:sz="0" w:space="0" w:color="auto"/>
          </w:divBdr>
        </w:div>
        <w:div w:id="643511309">
          <w:marLeft w:val="0"/>
          <w:marRight w:val="0"/>
          <w:marTop w:val="0"/>
          <w:marBottom w:val="0"/>
          <w:divBdr>
            <w:top w:val="none" w:sz="0" w:space="0" w:color="auto"/>
            <w:left w:val="none" w:sz="0" w:space="0" w:color="auto"/>
            <w:bottom w:val="none" w:sz="0" w:space="0" w:color="auto"/>
            <w:right w:val="none" w:sz="0" w:space="0" w:color="auto"/>
          </w:divBdr>
        </w:div>
        <w:div w:id="1972051026">
          <w:marLeft w:val="0"/>
          <w:marRight w:val="0"/>
          <w:marTop w:val="0"/>
          <w:marBottom w:val="0"/>
          <w:divBdr>
            <w:top w:val="none" w:sz="0" w:space="0" w:color="auto"/>
            <w:left w:val="none" w:sz="0" w:space="0" w:color="auto"/>
            <w:bottom w:val="none" w:sz="0" w:space="0" w:color="auto"/>
            <w:right w:val="none" w:sz="0" w:space="0" w:color="auto"/>
          </w:divBdr>
        </w:div>
        <w:div w:id="78524893">
          <w:marLeft w:val="0"/>
          <w:marRight w:val="0"/>
          <w:marTop w:val="0"/>
          <w:marBottom w:val="0"/>
          <w:divBdr>
            <w:top w:val="none" w:sz="0" w:space="0" w:color="auto"/>
            <w:left w:val="none" w:sz="0" w:space="0" w:color="auto"/>
            <w:bottom w:val="none" w:sz="0" w:space="0" w:color="auto"/>
            <w:right w:val="none" w:sz="0" w:space="0" w:color="auto"/>
          </w:divBdr>
        </w:div>
        <w:div w:id="224951991">
          <w:marLeft w:val="0"/>
          <w:marRight w:val="0"/>
          <w:marTop w:val="0"/>
          <w:marBottom w:val="0"/>
          <w:divBdr>
            <w:top w:val="none" w:sz="0" w:space="0" w:color="auto"/>
            <w:left w:val="none" w:sz="0" w:space="0" w:color="auto"/>
            <w:bottom w:val="none" w:sz="0" w:space="0" w:color="auto"/>
            <w:right w:val="none" w:sz="0" w:space="0" w:color="auto"/>
          </w:divBdr>
        </w:div>
        <w:div w:id="1700887402">
          <w:marLeft w:val="0"/>
          <w:marRight w:val="0"/>
          <w:marTop w:val="0"/>
          <w:marBottom w:val="0"/>
          <w:divBdr>
            <w:top w:val="none" w:sz="0" w:space="0" w:color="auto"/>
            <w:left w:val="none" w:sz="0" w:space="0" w:color="auto"/>
            <w:bottom w:val="none" w:sz="0" w:space="0" w:color="auto"/>
            <w:right w:val="none" w:sz="0" w:space="0" w:color="auto"/>
          </w:divBdr>
        </w:div>
        <w:div w:id="1034816545">
          <w:marLeft w:val="0"/>
          <w:marRight w:val="0"/>
          <w:marTop w:val="0"/>
          <w:marBottom w:val="0"/>
          <w:divBdr>
            <w:top w:val="none" w:sz="0" w:space="0" w:color="auto"/>
            <w:left w:val="none" w:sz="0" w:space="0" w:color="auto"/>
            <w:bottom w:val="none" w:sz="0" w:space="0" w:color="auto"/>
            <w:right w:val="none" w:sz="0" w:space="0" w:color="auto"/>
          </w:divBdr>
        </w:div>
        <w:div w:id="1808467739">
          <w:marLeft w:val="0"/>
          <w:marRight w:val="0"/>
          <w:marTop w:val="0"/>
          <w:marBottom w:val="0"/>
          <w:divBdr>
            <w:top w:val="none" w:sz="0" w:space="0" w:color="auto"/>
            <w:left w:val="none" w:sz="0" w:space="0" w:color="auto"/>
            <w:bottom w:val="none" w:sz="0" w:space="0" w:color="auto"/>
            <w:right w:val="none" w:sz="0" w:space="0" w:color="auto"/>
          </w:divBdr>
        </w:div>
        <w:div w:id="780225135">
          <w:marLeft w:val="0"/>
          <w:marRight w:val="0"/>
          <w:marTop w:val="0"/>
          <w:marBottom w:val="0"/>
          <w:divBdr>
            <w:top w:val="none" w:sz="0" w:space="0" w:color="auto"/>
            <w:left w:val="none" w:sz="0" w:space="0" w:color="auto"/>
            <w:bottom w:val="none" w:sz="0" w:space="0" w:color="auto"/>
            <w:right w:val="none" w:sz="0" w:space="0" w:color="auto"/>
          </w:divBdr>
        </w:div>
        <w:div w:id="429737748">
          <w:marLeft w:val="0"/>
          <w:marRight w:val="0"/>
          <w:marTop w:val="0"/>
          <w:marBottom w:val="0"/>
          <w:divBdr>
            <w:top w:val="none" w:sz="0" w:space="0" w:color="auto"/>
            <w:left w:val="none" w:sz="0" w:space="0" w:color="auto"/>
            <w:bottom w:val="none" w:sz="0" w:space="0" w:color="auto"/>
            <w:right w:val="none" w:sz="0" w:space="0" w:color="auto"/>
          </w:divBdr>
        </w:div>
        <w:div w:id="1530146113">
          <w:marLeft w:val="0"/>
          <w:marRight w:val="0"/>
          <w:marTop w:val="0"/>
          <w:marBottom w:val="0"/>
          <w:divBdr>
            <w:top w:val="none" w:sz="0" w:space="0" w:color="auto"/>
            <w:left w:val="none" w:sz="0" w:space="0" w:color="auto"/>
            <w:bottom w:val="none" w:sz="0" w:space="0" w:color="auto"/>
            <w:right w:val="none" w:sz="0" w:space="0" w:color="auto"/>
          </w:divBdr>
        </w:div>
        <w:div w:id="467169199">
          <w:marLeft w:val="0"/>
          <w:marRight w:val="0"/>
          <w:marTop w:val="0"/>
          <w:marBottom w:val="0"/>
          <w:divBdr>
            <w:top w:val="none" w:sz="0" w:space="0" w:color="auto"/>
            <w:left w:val="none" w:sz="0" w:space="0" w:color="auto"/>
            <w:bottom w:val="none" w:sz="0" w:space="0" w:color="auto"/>
            <w:right w:val="none" w:sz="0" w:space="0" w:color="auto"/>
          </w:divBdr>
        </w:div>
      </w:divsChild>
    </w:div>
    <w:div w:id="1155682133">
      <w:bodyDiv w:val="1"/>
      <w:marLeft w:val="0"/>
      <w:marRight w:val="0"/>
      <w:marTop w:val="0"/>
      <w:marBottom w:val="0"/>
      <w:divBdr>
        <w:top w:val="none" w:sz="0" w:space="0" w:color="auto"/>
        <w:left w:val="none" w:sz="0" w:space="0" w:color="auto"/>
        <w:bottom w:val="none" w:sz="0" w:space="0" w:color="auto"/>
        <w:right w:val="none" w:sz="0" w:space="0" w:color="auto"/>
      </w:divBdr>
    </w:div>
    <w:div w:id="1156607607">
      <w:bodyDiv w:val="1"/>
      <w:marLeft w:val="0"/>
      <w:marRight w:val="0"/>
      <w:marTop w:val="0"/>
      <w:marBottom w:val="0"/>
      <w:divBdr>
        <w:top w:val="none" w:sz="0" w:space="0" w:color="auto"/>
        <w:left w:val="none" w:sz="0" w:space="0" w:color="auto"/>
        <w:bottom w:val="none" w:sz="0" w:space="0" w:color="auto"/>
        <w:right w:val="none" w:sz="0" w:space="0" w:color="auto"/>
      </w:divBdr>
    </w:div>
    <w:div w:id="1158813931">
      <w:bodyDiv w:val="1"/>
      <w:marLeft w:val="0"/>
      <w:marRight w:val="0"/>
      <w:marTop w:val="0"/>
      <w:marBottom w:val="0"/>
      <w:divBdr>
        <w:top w:val="none" w:sz="0" w:space="0" w:color="auto"/>
        <w:left w:val="none" w:sz="0" w:space="0" w:color="auto"/>
        <w:bottom w:val="none" w:sz="0" w:space="0" w:color="auto"/>
        <w:right w:val="none" w:sz="0" w:space="0" w:color="auto"/>
      </w:divBdr>
    </w:div>
    <w:div w:id="1164590524">
      <w:bodyDiv w:val="1"/>
      <w:marLeft w:val="0"/>
      <w:marRight w:val="0"/>
      <w:marTop w:val="0"/>
      <w:marBottom w:val="0"/>
      <w:divBdr>
        <w:top w:val="none" w:sz="0" w:space="0" w:color="auto"/>
        <w:left w:val="none" w:sz="0" w:space="0" w:color="auto"/>
        <w:bottom w:val="none" w:sz="0" w:space="0" w:color="auto"/>
        <w:right w:val="none" w:sz="0" w:space="0" w:color="auto"/>
      </w:divBdr>
    </w:div>
    <w:div w:id="1165054514">
      <w:bodyDiv w:val="1"/>
      <w:marLeft w:val="0"/>
      <w:marRight w:val="0"/>
      <w:marTop w:val="0"/>
      <w:marBottom w:val="0"/>
      <w:divBdr>
        <w:top w:val="none" w:sz="0" w:space="0" w:color="auto"/>
        <w:left w:val="none" w:sz="0" w:space="0" w:color="auto"/>
        <w:bottom w:val="none" w:sz="0" w:space="0" w:color="auto"/>
        <w:right w:val="none" w:sz="0" w:space="0" w:color="auto"/>
      </w:divBdr>
    </w:div>
    <w:div w:id="1168442331">
      <w:bodyDiv w:val="1"/>
      <w:marLeft w:val="0"/>
      <w:marRight w:val="0"/>
      <w:marTop w:val="0"/>
      <w:marBottom w:val="0"/>
      <w:divBdr>
        <w:top w:val="none" w:sz="0" w:space="0" w:color="auto"/>
        <w:left w:val="none" w:sz="0" w:space="0" w:color="auto"/>
        <w:bottom w:val="none" w:sz="0" w:space="0" w:color="auto"/>
        <w:right w:val="none" w:sz="0" w:space="0" w:color="auto"/>
      </w:divBdr>
    </w:div>
    <w:div w:id="1170563825">
      <w:bodyDiv w:val="1"/>
      <w:marLeft w:val="0"/>
      <w:marRight w:val="0"/>
      <w:marTop w:val="0"/>
      <w:marBottom w:val="0"/>
      <w:divBdr>
        <w:top w:val="none" w:sz="0" w:space="0" w:color="auto"/>
        <w:left w:val="none" w:sz="0" w:space="0" w:color="auto"/>
        <w:bottom w:val="none" w:sz="0" w:space="0" w:color="auto"/>
        <w:right w:val="none" w:sz="0" w:space="0" w:color="auto"/>
      </w:divBdr>
    </w:div>
    <w:div w:id="1174609209">
      <w:bodyDiv w:val="1"/>
      <w:marLeft w:val="0"/>
      <w:marRight w:val="0"/>
      <w:marTop w:val="0"/>
      <w:marBottom w:val="0"/>
      <w:divBdr>
        <w:top w:val="none" w:sz="0" w:space="0" w:color="auto"/>
        <w:left w:val="none" w:sz="0" w:space="0" w:color="auto"/>
        <w:bottom w:val="none" w:sz="0" w:space="0" w:color="auto"/>
        <w:right w:val="none" w:sz="0" w:space="0" w:color="auto"/>
      </w:divBdr>
    </w:div>
    <w:div w:id="1182163720">
      <w:bodyDiv w:val="1"/>
      <w:marLeft w:val="0"/>
      <w:marRight w:val="0"/>
      <w:marTop w:val="0"/>
      <w:marBottom w:val="0"/>
      <w:divBdr>
        <w:top w:val="none" w:sz="0" w:space="0" w:color="auto"/>
        <w:left w:val="none" w:sz="0" w:space="0" w:color="auto"/>
        <w:bottom w:val="none" w:sz="0" w:space="0" w:color="auto"/>
        <w:right w:val="none" w:sz="0" w:space="0" w:color="auto"/>
      </w:divBdr>
    </w:div>
    <w:div w:id="1182474760">
      <w:bodyDiv w:val="1"/>
      <w:marLeft w:val="0"/>
      <w:marRight w:val="0"/>
      <w:marTop w:val="0"/>
      <w:marBottom w:val="0"/>
      <w:divBdr>
        <w:top w:val="none" w:sz="0" w:space="0" w:color="auto"/>
        <w:left w:val="none" w:sz="0" w:space="0" w:color="auto"/>
        <w:bottom w:val="none" w:sz="0" w:space="0" w:color="auto"/>
        <w:right w:val="none" w:sz="0" w:space="0" w:color="auto"/>
      </w:divBdr>
    </w:div>
    <w:div w:id="1184369577">
      <w:bodyDiv w:val="1"/>
      <w:marLeft w:val="0"/>
      <w:marRight w:val="0"/>
      <w:marTop w:val="0"/>
      <w:marBottom w:val="0"/>
      <w:divBdr>
        <w:top w:val="none" w:sz="0" w:space="0" w:color="auto"/>
        <w:left w:val="none" w:sz="0" w:space="0" w:color="auto"/>
        <w:bottom w:val="none" w:sz="0" w:space="0" w:color="auto"/>
        <w:right w:val="none" w:sz="0" w:space="0" w:color="auto"/>
      </w:divBdr>
    </w:div>
    <w:div w:id="1186823194">
      <w:bodyDiv w:val="1"/>
      <w:marLeft w:val="0"/>
      <w:marRight w:val="0"/>
      <w:marTop w:val="0"/>
      <w:marBottom w:val="0"/>
      <w:divBdr>
        <w:top w:val="none" w:sz="0" w:space="0" w:color="auto"/>
        <w:left w:val="none" w:sz="0" w:space="0" w:color="auto"/>
        <w:bottom w:val="none" w:sz="0" w:space="0" w:color="auto"/>
        <w:right w:val="none" w:sz="0" w:space="0" w:color="auto"/>
      </w:divBdr>
    </w:div>
    <w:div w:id="1188375215">
      <w:bodyDiv w:val="1"/>
      <w:marLeft w:val="0"/>
      <w:marRight w:val="0"/>
      <w:marTop w:val="0"/>
      <w:marBottom w:val="0"/>
      <w:divBdr>
        <w:top w:val="none" w:sz="0" w:space="0" w:color="auto"/>
        <w:left w:val="none" w:sz="0" w:space="0" w:color="auto"/>
        <w:bottom w:val="none" w:sz="0" w:space="0" w:color="auto"/>
        <w:right w:val="none" w:sz="0" w:space="0" w:color="auto"/>
      </w:divBdr>
    </w:div>
    <w:div w:id="1189948251">
      <w:bodyDiv w:val="1"/>
      <w:marLeft w:val="0"/>
      <w:marRight w:val="0"/>
      <w:marTop w:val="0"/>
      <w:marBottom w:val="0"/>
      <w:divBdr>
        <w:top w:val="none" w:sz="0" w:space="0" w:color="auto"/>
        <w:left w:val="none" w:sz="0" w:space="0" w:color="auto"/>
        <w:bottom w:val="none" w:sz="0" w:space="0" w:color="auto"/>
        <w:right w:val="none" w:sz="0" w:space="0" w:color="auto"/>
      </w:divBdr>
    </w:div>
    <w:div w:id="1191531241">
      <w:bodyDiv w:val="1"/>
      <w:marLeft w:val="0"/>
      <w:marRight w:val="0"/>
      <w:marTop w:val="0"/>
      <w:marBottom w:val="0"/>
      <w:divBdr>
        <w:top w:val="none" w:sz="0" w:space="0" w:color="auto"/>
        <w:left w:val="none" w:sz="0" w:space="0" w:color="auto"/>
        <w:bottom w:val="none" w:sz="0" w:space="0" w:color="auto"/>
        <w:right w:val="none" w:sz="0" w:space="0" w:color="auto"/>
      </w:divBdr>
    </w:div>
    <w:div w:id="1192571851">
      <w:bodyDiv w:val="1"/>
      <w:marLeft w:val="0"/>
      <w:marRight w:val="0"/>
      <w:marTop w:val="0"/>
      <w:marBottom w:val="0"/>
      <w:divBdr>
        <w:top w:val="none" w:sz="0" w:space="0" w:color="auto"/>
        <w:left w:val="none" w:sz="0" w:space="0" w:color="auto"/>
        <w:bottom w:val="none" w:sz="0" w:space="0" w:color="auto"/>
        <w:right w:val="none" w:sz="0" w:space="0" w:color="auto"/>
      </w:divBdr>
      <w:divsChild>
        <w:div w:id="418252976">
          <w:marLeft w:val="0"/>
          <w:marRight w:val="0"/>
          <w:marTop w:val="0"/>
          <w:marBottom w:val="0"/>
          <w:divBdr>
            <w:top w:val="none" w:sz="0" w:space="0" w:color="auto"/>
            <w:left w:val="none" w:sz="0" w:space="0" w:color="auto"/>
            <w:bottom w:val="none" w:sz="0" w:space="0" w:color="auto"/>
            <w:right w:val="none" w:sz="0" w:space="0" w:color="auto"/>
          </w:divBdr>
        </w:div>
      </w:divsChild>
    </w:div>
    <w:div w:id="1193300954">
      <w:bodyDiv w:val="1"/>
      <w:marLeft w:val="0"/>
      <w:marRight w:val="0"/>
      <w:marTop w:val="0"/>
      <w:marBottom w:val="0"/>
      <w:divBdr>
        <w:top w:val="none" w:sz="0" w:space="0" w:color="auto"/>
        <w:left w:val="none" w:sz="0" w:space="0" w:color="auto"/>
        <w:bottom w:val="none" w:sz="0" w:space="0" w:color="auto"/>
        <w:right w:val="none" w:sz="0" w:space="0" w:color="auto"/>
      </w:divBdr>
    </w:div>
    <w:div w:id="1194270356">
      <w:bodyDiv w:val="1"/>
      <w:marLeft w:val="0"/>
      <w:marRight w:val="0"/>
      <w:marTop w:val="0"/>
      <w:marBottom w:val="0"/>
      <w:divBdr>
        <w:top w:val="none" w:sz="0" w:space="0" w:color="auto"/>
        <w:left w:val="none" w:sz="0" w:space="0" w:color="auto"/>
        <w:bottom w:val="none" w:sz="0" w:space="0" w:color="auto"/>
        <w:right w:val="none" w:sz="0" w:space="0" w:color="auto"/>
      </w:divBdr>
    </w:div>
    <w:div w:id="1194348225">
      <w:bodyDiv w:val="1"/>
      <w:marLeft w:val="0"/>
      <w:marRight w:val="0"/>
      <w:marTop w:val="0"/>
      <w:marBottom w:val="0"/>
      <w:divBdr>
        <w:top w:val="none" w:sz="0" w:space="0" w:color="auto"/>
        <w:left w:val="none" w:sz="0" w:space="0" w:color="auto"/>
        <w:bottom w:val="none" w:sz="0" w:space="0" w:color="auto"/>
        <w:right w:val="none" w:sz="0" w:space="0" w:color="auto"/>
      </w:divBdr>
    </w:div>
    <w:div w:id="1199197586">
      <w:bodyDiv w:val="1"/>
      <w:marLeft w:val="0"/>
      <w:marRight w:val="0"/>
      <w:marTop w:val="0"/>
      <w:marBottom w:val="0"/>
      <w:divBdr>
        <w:top w:val="none" w:sz="0" w:space="0" w:color="auto"/>
        <w:left w:val="none" w:sz="0" w:space="0" w:color="auto"/>
        <w:bottom w:val="none" w:sz="0" w:space="0" w:color="auto"/>
        <w:right w:val="none" w:sz="0" w:space="0" w:color="auto"/>
      </w:divBdr>
    </w:div>
    <w:div w:id="1204563013">
      <w:bodyDiv w:val="1"/>
      <w:marLeft w:val="0"/>
      <w:marRight w:val="0"/>
      <w:marTop w:val="0"/>
      <w:marBottom w:val="0"/>
      <w:divBdr>
        <w:top w:val="none" w:sz="0" w:space="0" w:color="auto"/>
        <w:left w:val="none" w:sz="0" w:space="0" w:color="auto"/>
        <w:bottom w:val="none" w:sz="0" w:space="0" w:color="auto"/>
        <w:right w:val="none" w:sz="0" w:space="0" w:color="auto"/>
      </w:divBdr>
    </w:div>
    <w:div w:id="1212301692">
      <w:bodyDiv w:val="1"/>
      <w:marLeft w:val="0"/>
      <w:marRight w:val="0"/>
      <w:marTop w:val="0"/>
      <w:marBottom w:val="0"/>
      <w:divBdr>
        <w:top w:val="none" w:sz="0" w:space="0" w:color="auto"/>
        <w:left w:val="none" w:sz="0" w:space="0" w:color="auto"/>
        <w:bottom w:val="none" w:sz="0" w:space="0" w:color="auto"/>
        <w:right w:val="none" w:sz="0" w:space="0" w:color="auto"/>
      </w:divBdr>
    </w:div>
    <w:div w:id="1214347845">
      <w:bodyDiv w:val="1"/>
      <w:marLeft w:val="0"/>
      <w:marRight w:val="0"/>
      <w:marTop w:val="0"/>
      <w:marBottom w:val="0"/>
      <w:divBdr>
        <w:top w:val="none" w:sz="0" w:space="0" w:color="auto"/>
        <w:left w:val="none" w:sz="0" w:space="0" w:color="auto"/>
        <w:bottom w:val="none" w:sz="0" w:space="0" w:color="auto"/>
        <w:right w:val="none" w:sz="0" w:space="0" w:color="auto"/>
      </w:divBdr>
    </w:div>
    <w:div w:id="1217548027">
      <w:bodyDiv w:val="1"/>
      <w:marLeft w:val="0"/>
      <w:marRight w:val="0"/>
      <w:marTop w:val="0"/>
      <w:marBottom w:val="0"/>
      <w:divBdr>
        <w:top w:val="none" w:sz="0" w:space="0" w:color="auto"/>
        <w:left w:val="none" w:sz="0" w:space="0" w:color="auto"/>
        <w:bottom w:val="none" w:sz="0" w:space="0" w:color="auto"/>
        <w:right w:val="none" w:sz="0" w:space="0" w:color="auto"/>
      </w:divBdr>
    </w:div>
    <w:div w:id="1217744024">
      <w:bodyDiv w:val="1"/>
      <w:marLeft w:val="0"/>
      <w:marRight w:val="0"/>
      <w:marTop w:val="0"/>
      <w:marBottom w:val="0"/>
      <w:divBdr>
        <w:top w:val="none" w:sz="0" w:space="0" w:color="auto"/>
        <w:left w:val="none" w:sz="0" w:space="0" w:color="auto"/>
        <w:bottom w:val="none" w:sz="0" w:space="0" w:color="auto"/>
        <w:right w:val="none" w:sz="0" w:space="0" w:color="auto"/>
      </w:divBdr>
    </w:div>
    <w:div w:id="1218468714">
      <w:bodyDiv w:val="1"/>
      <w:marLeft w:val="0"/>
      <w:marRight w:val="0"/>
      <w:marTop w:val="0"/>
      <w:marBottom w:val="0"/>
      <w:divBdr>
        <w:top w:val="none" w:sz="0" w:space="0" w:color="auto"/>
        <w:left w:val="none" w:sz="0" w:space="0" w:color="auto"/>
        <w:bottom w:val="none" w:sz="0" w:space="0" w:color="auto"/>
        <w:right w:val="none" w:sz="0" w:space="0" w:color="auto"/>
      </w:divBdr>
    </w:div>
    <w:div w:id="1220287147">
      <w:bodyDiv w:val="1"/>
      <w:marLeft w:val="0"/>
      <w:marRight w:val="0"/>
      <w:marTop w:val="0"/>
      <w:marBottom w:val="0"/>
      <w:divBdr>
        <w:top w:val="none" w:sz="0" w:space="0" w:color="auto"/>
        <w:left w:val="none" w:sz="0" w:space="0" w:color="auto"/>
        <w:bottom w:val="none" w:sz="0" w:space="0" w:color="auto"/>
        <w:right w:val="none" w:sz="0" w:space="0" w:color="auto"/>
      </w:divBdr>
    </w:div>
    <w:div w:id="1220635160">
      <w:bodyDiv w:val="1"/>
      <w:marLeft w:val="0"/>
      <w:marRight w:val="0"/>
      <w:marTop w:val="0"/>
      <w:marBottom w:val="0"/>
      <w:divBdr>
        <w:top w:val="none" w:sz="0" w:space="0" w:color="auto"/>
        <w:left w:val="none" w:sz="0" w:space="0" w:color="auto"/>
        <w:bottom w:val="none" w:sz="0" w:space="0" w:color="auto"/>
        <w:right w:val="none" w:sz="0" w:space="0" w:color="auto"/>
      </w:divBdr>
    </w:div>
    <w:div w:id="1222444340">
      <w:bodyDiv w:val="1"/>
      <w:marLeft w:val="0"/>
      <w:marRight w:val="0"/>
      <w:marTop w:val="0"/>
      <w:marBottom w:val="0"/>
      <w:divBdr>
        <w:top w:val="none" w:sz="0" w:space="0" w:color="auto"/>
        <w:left w:val="none" w:sz="0" w:space="0" w:color="auto"/>
        <w:bottom w:val="none" w:sz="0" w:space="0" w:color="auto"/>
        <w:right w:val="none" w:sz="0" w:space="0" w:color="auto"/>
      </w:divBdr>
    </w:div>
    <w:div w:id="1227833732">
      <w:bodyDiv w:val="1"/>
      <w:marLeft w:val="0"/>
      <w:marRight w:val="0"/>
      <w:marTop w:val="0"/>
      <w:marBottom w:val="0"/>
      <w:divBdr>
        <w:top w:val="none" w:sz="0" w:space="0" w:color="auto"/>
        <w:left w:val="none" w:sz="0" w:space="0" w:color="auto"/>
        <w:bottom w:val="none" w:sz="0" w:space="0" w:color="auto"/>
        <w:right w:val="none" w:sz="0" w:space="0" w:color="auto"/>
      </w:divBdr>
    </w:div>
    <w:div w:id="1234895574">
      <w:bodyDiv w:val="1"/>
      <w:marLeft w:val="0"/>
      <w:marRight w:val="0"/>
      <w:marTop w:val="0"/>
      <w:marBottom w:val="0"/>
      <w:divBdr>
        <w:top w:val="none" w:sz="0" w:space="0" w:color="auto"/>
        <w:left w:val="none" w:sz="0" w:space="0" w:color="auto"/>
        <w:bottom w:val="none" w:sz="0" w:space="0" w:color="auto"/>
        <w:right w:val="none" w:sz="0" w:space="0" w:color="auto"/>
      </w:divBdr>
    </w:div>
    <w:div w:id="1240020420">
      <w:bodyDiv w:val="1"/>
      <w:marLeft w:val="0"/>
      <w:marRight w:val="0"/>
      <w:marTop w:val="0"/>
      <w:marBottom w:val="0"/>
      <w:divBdr>
        <w:top w:val="none" w:sz="0" w:space="0" w:color="auto"/>
        <w:left w:val="none" w:sz="0" w:space="0" w:color="auto"/>
        <w:bottom w:val="none" w:sz="0" w:space="0" w:color="auto"/>
        <w:right w:val="none" w:sz="0" w:space="0" w:color="auto"/>
      </w:divBdr>
    </w:div>
    <w:div w:id="1243878386">
      <w:bodyDiv w:val="1"/>
      <w:marLeft w:val="0"/>
      <w:marRight w:val="0"/>
      <w:marTop w:val="0"/>
      <w:marBottom w:val="0"/>
      <w:divBdr>
        <w:top w:val="none" w:sz="0" w:space="0" w:color="auto"/>
        <w:left w:val="none" w:sz="0" w:space="0" w:color="auto"/>
        <w:bottom w:val="none" w:sz="0" w:space="0" w:color="auto"/>
        <w:right w:val="none" w:sz="0" w:space="0" w:color="auto"/>
      </w:divBdr>
    </w:div>
    <w:div w:id="1246691337">
      <w:bodyDiv w:val="1"/>
      <w:marLeft w:val="0"/>
      <w:marRight w:val="0"/>
      <w:marTop w:val="0"/>
      <w:marBottom w:val="0"/>
      <w:divBdr>
        <w:top w:val="none" w:sz="0" w:space="0" w:color="auto"/>
        <w:left w:val="none" w:sz="0" w:space="0" w:color="auto"/>
        <w:bottom w:val="none" w:sz="0" w:space="0" w:color="auto"/>
        <w:right w:val="none" w:sz="0" w:space="0" w:color="auto"/>
      </w:divBdr>
    </w:div>
    <w:div w:id="1248467098">
      <w:bodyDiv w:val="1"/>
      <w:marLeft w:val="0"/>
      <w:marRight w:val="0"/>
      <w:marTop w:val="0"/>
      <w:marBottom w:val="0"/>
      <w:divBdr>
        <w:top w:val="none" w:sz="0" w:space="0" w:color="auto"/>
        <w:left w:val="none" w:sz="0" w:space="0" w:color="auto"/>
        <w:bottom w:val="none" w:sz="0" w:space="0" w:color="auto"/>
        <w:right w:val="none" w:sz="0" w:space="0" w:color="auto"/>
      </w:divBdr>
    </w:div>
    <w:div w:id="1252471348">
      <w:bodyDiv w:val="1"/>
      <w:marLeft w:val="0"/>
      <w:marRight w:val="0"/>
      <w:marTop w:val="0"/>
      <w:marBottom w:val="0"/>
      <w:divBdr>
        <w:top w:val="none" w:sz="0" w:space="0" w:color="auto"/>
        <w:left w:val="none" w:sz="0" w:space="0" w:color="auto"/>
        <w:bottom w:val="none" w:sz="0" w:space="0" w:color="auto"/>
        <w:right w:val="none" w:sz="0" w:space="0" w:color="auto"/>
      </w:divBdr>
    </w:div>
    <w:div w:id="1257711609">
      <w:bodyDiv w:val="1"/>
      <w:marLeft w:val="0"/>
      <w:marRight w:val="0"/>
      <w:marTop w:val="0"/>
      <w:marBottom w:val="0"/>
      <w:divBdr>
        <w:top w:val="none" w:sz="0" w:space="0" w:color="auto"/>
        <w:left w:val="none" w:sz="0" w:space="0" w:color="auto"/>
        <w:bottom w:val="none" w:sz="0" w:space="0" w:color="auto"/>
        <w:right w:val="none" w:sz="0" w:space="0" w:color="auto"/>
      </w:divBdr>
    </w:div>
    <w:div w:id="1259947874">
      <w:bodyDiv w:val="1"/>
      <w:marLeft w:val="0"/>
      <w:marRight w:val="0"/>
      <w:marTop w:val="0"/>
      <w:marBottom w:val="0"/>
      <w:divBdr>
        <w:top w:val="none" w:sz="0" w:space="0" w:color="auto"/>
        <w:left w:val="none" w:sz="0" w:space="0" w:color="auto"/>
        <w:bottom w:val="none" w:sz="0" w:space="0" w:color="auto"/>
        <w:right w:val="none" w:sz="0" w:space="0" w:color="auto"/>
      </w:divBdr>
    </w:div>
    <w:div w:id="1260262235">
      <w:bodyDiv w:val="1"/>
      <w:marLeft w:val="0"/>
      <w:marRight w:val="0"/>
      <w:marTop w:val="0"/>
      <w:marBottom w:val="0"/>
      <w:divBdr>
        <w:top w:val="none" w:sz="0" w:space="0" w:color="auto"/>
        <w:left w:val="none" w:sz="0" w:space="0" w:color="auto"/>
        <w:bottom w:val="none" w:sz="0" w:space="0" w:color="auto"/>
        <w:right w:val="none" w:sz="0" w:space="0" w:color="auto"/>
      </w:divBdr>
    </w:div>
    <w:div w:id="1261912074">
      <w:bodyDiv w:val="1"/>
      <w:marLeft w:val="0"/>
      <w:marRight w:val="0"/>
      <w:marTop w:val="0"/>
      <w:marBottom w:val="0"/>
      <w:divBdr>
        <w:top w:val="none" w:sz="0" w:space="0" w:color="auto"/>
        <w:left w:val="none" w:sz="0" w:space="0" w:color="auto"/>
        <w:bottom w:val="none" w:sz="0" w:space="0" w:color="auto"/>
        <w:right w:val="none" w:sz="0" w:space="0" w:color="auto"/>
      </w:divBdr>
    </w:div>
    <w:div w:id="1263028404">
      <w:bodyDiv w:val="1"/>
      <w:marLeft w:val="0"/>
      <w:marRight w:val="0"/>
      <w:marTop w:val="0"/>
      <w:marBottom w:val="0"/>
      <w:divBdr>
        <w:top w:val="none" w:sz="0" w:space="0" w:color="auto"/>
        <w:left w:val="none" w:sz="0" w:space="0" w:color="auto"/>
        <w:bottom w:val="none" w:sz="0" w:space="0" w:color="auto"/>
        <w:right w:val="none" w:sz="0" w:space="0" w:color="auto"/>
      </w:divBdr>
    </w:div>
    <w:div w:id="1275283786">
      <w:bodyDiv w:val="1"/>
      <w:marLeft w:val="0"/>
      <w:marRight w:val="0"/>
      <w:marTop w:val="0"/>
      <w:marBottom w:val="0"/>
      <w:divBdr>
        <w:top w:val="none" w:sz="0" w:space="0" w:color="auto"/>
        <w:left w:val="none" w:sz="0" w:space="0" w:color="auto"/>
        <w:bottom w:val="none" w:sz="0" w:space="0" w:color="auto"/>
        <w:right w:val="none" w:sz="0" w:space="0" w:color="auto"/>
      </w:divBdr>
    </w:div>
    <w:div w:id="1278296562">
      <w:bodyDiv w:val="1"/>
      <w:marLeft w:val="0"/>
      <w:marRight w:val="0"/>
      <w:marTop w:val="0"/>
      <w:marBottom w:val="0"/>
      <w:divBdr>
        <w:top w:val="none" w:sz="0" w:space="0" w:color="auto"/>
        <w:left w:val="none" w:sz="0" w:space="0" w:color="auto"/>
        <w:bottom w:val="none" w:sz="0" w:space="0" w:color="auto"/>
        <w:right w:val="none" w:sz="0" w:space="0" w:color="auto"/>
      </w:divBdr>
    </w:div>
    <w:div w:id="1278487167">
      <w:bodyDiv w:val="1"/>
      <w:marLeft w:val="0"/>
      <w:marRight w:val="0"/>
      <w:marTop w:val="0"/>
      <w:marBottom w:val="0"/>
      <w:divBdr>
        <w:top w:val="none" w:sz="0" w:space="0" w:color="auto"/>
        <w:left w:val="none" w:sz="0" w:space="0" w:color="auto"/>
        <w:bottom w:val="none" w:sz="0" w:space="0" w:color="auto"/>
        <w:right w:val="none" w:sz="0" w:space="0" w:color="auto"/>
      </w:divBdr>
    </w:div>
    <w:div w:id="1278636390">
      <w:bodyDiv w:val="1"/>
      <w:marLeft w:val="0"/>
      <w:marRight w:val="0"/>
      <w:marTop w:val="0"/>
      <w:marBottom w:val="0"/>
      <w:divBdr>
        <w:top w:val="none" w:sz="0" w:space="0" w:color="auto"/>
        <w:left w:val="none" w:sz="0" w:space="0" w:color="auto"/>
        <w:bottom w:val="none" w:sz="0" w:space="0" w:color="auto"/>
        <w:right w:val="none" w:sz="0" w:space="0" w:color="auto"/>
      </w:divBdr>
    </w:div>
    <w:div w:id="1280574942">
      <w:bodyDiv w:val="1"/>
      <w:marLeft w:val="0"/>
      <w:marRight w:val="0"/>
      <w:marTop w:val="0"/>
      <w:marBottom w:val="0"/>
      <w:divBdr>
        <w:top w:val="none" w:sz="0" w:space="0" w:color="auto"/>
        <w:left w:val="none" w:sz="0" w:space="0" w:color="auto"/>
        <w:bottom w:val="none" w:sz="0" w:space="0" w:color="auto"/>
        <w:right w:val="none" w:sz="0" w:space="0" w:color="auto"/>
      </w:divBdr>
    </w:div>
    <w:div w:id="1282305037">
      <w:bodyDiv w:val="1"/>
      <w:marLeft w:val="0"/>
      <w:marRight w:val="0"/>
      <w:marTop w:val="0"/>
      <w:marBottom w:val="0"/>
      <w:divBdr>
        <w:top w:val="none" w:sz="0" w:space="0" w:color="auto"/>
        <w:left w:val="none" w:sz="0" w:space="0" w:color="auto"/>
        <w:bottom w:val="none" w:sz="0" w:space="0" w:color="auto"/>
        <w:right w:val="none" w:sz="0" w:space="0" w:color="auto"/>
      </w:divBdr>
    </w:div>
    <w:div w:id="1283267117">
      <w:bodyDiv w:val="1"/>
      <w:marLeft w:val="0"/>
      <w:marRight w:val="0"/>
      <w:marTop w:val="0"/>
      <w:marBottom w:val="0"/>
      <w:divBdr>
        <w:top w:val="none" w:sz="0" w:space="0" w:color="auto"/>
        <w:left w:val="none" w:sz="0" w:space="0" w:color="auto"/>
        <w:bottom w:val="none" w:sz="0" w:space="0" w:color="auto"/>
        <w:right w:val="none" w:sz="0" w:space="0" w:color="auto"/>
      </w:divBdr>
    </w:div>
    <w:div w:id="1284463824">
      <w:bodyDiv w:val="1"/>
      <w:marLeft w:val="0"/>
      <w:marRight w:val="0"/>
      <w:marTop w:val="0"/>
      <w:marBottom w:val="0"/>
      <w:divBdr>
        <w:top w:val="none" w:sz="0" w:space="0" w:color="auto"/>
        <w:left w:val="none" w:sz="0" w:space="0" w:color="auto"/>
        <w:bottom w:val="none" w:sz="0" w:space="0" w:color="auto"/>
        <w:right w:val="none" w:sz="0" w:space="0" w:color="auto"/>
      </w:divBdr>
    </w:div>
    <w:div w:id="1291396815">
      <w:bodyDiv w:val="1"/>
      <w:marLeft w:val="0"/>
      <w:marRight w:val="0"/>
      <w:marTop w:val="0"/>
      <w:marBottom w:val="0"/>
      <w:divBdr>
        <w:top w:val="none" w:sz="0" w:space="0" w:color="auto"/>
        <w:left w:val="none" w:sz="0" w:space="0" w:color="auto"/>
        <w:bottom w:val="none" w:sz="0" w:space="0" w:color="auto"/>
        <w:right w:val="none" w:sz="0" w:space="0" w:color="auto"/>
      </w:divBdr>
    </w:div>
    <w:div w:id="1293173490">
      <w:bodyDiv w:val="1"/>
      <w:marLeft w:val="0"/>
      <w:marRight w:val="0"/>
      <w:marTop w:val="0"/>
      <w:marBottom w:val="0"/>
      <w:divBdr>
        <w:top w:val="none" w:sz="0" w:space="0" w:color="auto"/>
        <w:left w:val="none" w:sz="0" w:space="0" w:color="auto"/>
        <w:bottom w:val="none" w:sz="0" w:space="0" w:color="auto"/>
        <w:right w:val="none" w:sz="0" w:space="0" w:color="auto"/>
      </w:divBdr>
    </w:div>
    <w:div w:id="1293562968">
      <w:bodyDiv w:val="1"/>
      <w:marLeft w:val="0"/>
      <w:marRight w:val="0"/>
      <w:marTop w:val="0"/>
      <w:marBottom w:val="0"/>
      <w:divBdr>
        <w:top w:val="none" w:sz="0" w:space="0" w:color="auto"/>
        <w:left w:val="none" w:sz="0" w:space="0" w:color="auto"/>
        <w:bottom w:val="none" w:sz="0" w:space="0" w:color="auto"/>
        <w:right w:val="none" w:sz="0" w:space="0" w:color="auto"/>
      </w:divBdr>
    </w:div>
    <w:div w:id="1295408154">
      <w:bodyDiv w:val="1"/>
      <w:marLeft w:val="0"/>
      <w:marRight w:val="0"/>
      <w:marTop w:val="0"/>
      <w:marBottom w:val="0"/>
      <w:divBdr>
        <w:top w:val="none" w:sz="0" w:space="0" w:color="auto"/>
        <w:left w:val="none" w:sz="0" w:space="0" w:color="auto"/>
        <w:bottom w:val="none" w:sz="0" w:space="0" w:color="auto"/>
        <w:right w:val="none" w:sz="0" w:space="0" w:color="auto"/>
      </w:divBdr>
    </w:div>
    <w:div w:id="1299187523">
      <w:bodyDiv w:val="1"/>
      <w:marLeft w:val="0"/>
      <w:marRight w:val="0"/>
      <w:marTop w:val="0"/>
      <w:marBottom w:val="0"/>
      <w:divBdr>
        <w:top w:val="none" w:sz="0" w:space="0" w:color="auto"/>
        <w:left w:val="none" w:sz="0" w:space="0" w:color="auto"/>
        <w:bottom w:val="none" w:sz="0" w:space="0" w:color="auto"/>
        <w:right w:val="none" w:sz="0" w:space="0" w:color="auto"/>
      </w:divBdr>
    </w:div>
    <w:div w:id="1301301470">
      <w:bodyDiv w:val="1"/>
      <w:marLeft w:val="0"/>
      <w:marRight w:val="0"/>
      <w:marTop w:val="0"/>
      <w:marBottom w:val="0"/>
      <w:divBdr>
        <w:top w:val="none" w:sz="0" w:space="0" w:color="auto"/>
        <w:left w:val="none" w:sz="0" w:space="0" w:color="auto"/>
        <w:bottom w:val="none" w:sz="0" w:space="0" w:color="auto"/>
        <w:right w:val="none" w:sz="0" w:space="0" w:color="auto"/>
      </w:divBdr>
    </w:div>
    <w:div w:id="1302348120">
      <w:bodyDiv w:val="1"/>
      <w:marLeft w:val="0"/>
      <w:marRight w:val="0"/>
      <w:marTop w:val="0"/>
      <w:marBottom w:val="0"/>
      <w:divBdr>
        <w:top w:val="none" w:sz="0" w:space="0" w:color="auto"/>
        <w:left w:val="none" w:sz="0" w:space="0" w:color="auto"/>
        <w:bottom w:val="none" w:sz="0" w:space="0" w:color="auto"/>
        <w:right w:val="none" w:sz="0" w:space="0" w:color="auto"/>
      </w:divBdr>
    </w:div>
    <w:div w:id="1304890219">
      <w:bodyDiv w:val="1"/>
      <w:marLeft w:val="0"/>
      <w:marRight w:val="0"/>
      <w:marTop w:val="0"/>
      <w:marBottom w:val="0"/>
      <w:divBdr>
        <w:top w:val="none" w:sz="0" w:space="0" w:color="auto"/>
        <w:left w:val="none" w:sz="0" w:space="0" w:color="auto"/>
        <w:bottom w:val="none" w:sz="0" w:space="0" w:color="auto"/>
        <w:right w:val="none" w:sz="0" w:space="0" w:color="auto"/>
      </w:divBdr>
    </w:div>
    <w:div w:id="1308630886">
      <w:bodyDiv w:val="1"/>
      <w:marLeft w:val="0"/>
      <w:marRight w:val="0"/>
      <w:marTop w:val="0"/>
      <w:marBottom w:val="0"/>
      <w:divBdr>
        <w:top w:val="none" w:sz="0" w:space="0" w:color="auto"/>
        <w:left w:val="none" w:sz="0" w:space="0" w:color="auto"/>
        <w:bottom w:val="none" w:sz="0" w:space="0" w:color="auto"/>
        <w:right w:val="none" w:sz="0" w:space="0" w:color="auto"/>
      </w:divBdr>
    </w:div>
    <w:div w:id="1312708501">
      <w:bodyDiv w:val="1"/>
      <w:marLeft w:val="0"/>
      <w:marRight w:val="0"/>
      <w:marTop w:val="0"/>
      <w:marBottom w:val="0"/>
      <w:divBdr>
        <w:top w:val="none" w:sz="0" w:space="0" w:color="auto"/>
        <w:left w:val="none" w:sz="0" w:space="0" w:color="auto"/>
        <w:bottom w:val="none" w:sz="0" w:space="0" w:color="auto"/>
        <w:right w:val="none" w:sz="0" w:space="0" w:color="auto"/>
      </w:divBdr>
    </w:div>
    <w:div w:id="1315648119">
      <w:bodyDiv w:val="1"/>
      <w:marLeft w:val="0"/>
      <w:marRight w:val="0"/>
      <w:marTop w:val="0"/>
      <w:marBottom w:val="0"/>
      <w:divBdr>
        <w:top w:val="none" w:sz="0" w:space="0" w:color="auto"/>
        <w:left w:val="none" w:sz="0" w:space="0" w:color="auto"/>
        <w:bottom w:val="none" w:sz="0" w:space="0" w:color="auto"/>
        <w:right w:val="none" w:sz="0" w:space="0" w:color="auto"/>
      </w:divBdr>
    </w:div>
    <w:div w:id="1315836325">
      <w:bodyDiv w:val="1"/>
      <w:marLeft w:val="0"/>
      <w:marRight w:val="0"/>
      <w:marTop w:val="0"/>
      <w:marBottom w:val="0"/>
      <w:divBdr>
        <w:top w:val="none" w:sz="0" w:space="0" w:color="auto"/>
        <w:left w:val="none" w:sz="0" w:space="0" w:color="auto"/>
        <w:bottom w:val="none" w:sz="0" w:space="0" w:color="auto"/>
        <w:right w:val="none" w:sz="0" w:space="0" w:color="auto"/>
      </w:divBdr>
    </w:div>
    <w:div w:id="1321542377">
      <w:bodyDiv w:val="1"/>
      <w:marLeft w:val="0"/>
      <w:marRight w:val="0"/>
      <w:marTop w:val="0"/>
      <w:marBottom w:val="0"/>
      <w:divBdr>
        <w:top w:val="none" w:sz="0" w:space="0" w:color="auto"/>
        <w:left w:val="none" w:sz="0" w:space="0" w:color="auto"/>
        <w:bottom w:val="none" w:sz="0" w:space="0" w:color="auto"/>
        <w:right w:val="none" w:sz="0" w:space="0" w:color="auto"/>
      </w:divBdr>
    </w:div>
    <w:div w:id="1321805828">
      <w:bodyDiv w:val="1"/>
      <w:marLeft w:val="0"/>
      <w:marRight w:val="0"/>
      <w:marTop w:val="0"/>
      <w:marBottom w:val="0"/>
      <w:divBdr>
        <w:top w:val="none" w:sz="0" w:space="0" w:color="auto"/>
        <w:left w:val="none" w:sz="0" w:space="0" w:color="auto"/>
        <w:bottom w:val="none" w:sz="0" w:space="0" w:color="auto"/>
        <w:right w:val="none" w:sz="0" w:space="0" w:color="auto"/>
      </w:divBdr>
    </w:div>
    <w:div w:id="1325011202">
      <w:bodyDiv w:val="1"/>
      <w:marLeft w:val="0"/>
      <w:marRight w:val="0"/>
      <w:marTop w:val="0"/>
      <w:marBottom w:val="0"/>
      <w:divBdr>
        <w:top w:val="none" w:sz="0" w:space="0" w:color="auto"/>
        <w:left w:val="none" w:sz="0" w:space="0" w:color="auto"/>
        <w:bottom w:val="none" w:sz="0" w:space="0" w:color="auto"/>
        <w:right w:val="none" w:sz="0" w:space="0" w:color="auto"/>
      </w:divBdr>
    </w:div>
    <w:div w:id="1326402269">
      <w:bodyDiv w:val="1"/>
      <w:marLeft w:val="0"/>
      <w:marRight w:val="0"/>
      <w:marTop w:val="0"/>
      <w:marBottom w:val="0"/>
      <w:divBdr>
        <w:top w:val="none" w:sz="0" w:space="0" w:color="auto"/>
        <w:left w:val="none" w:sz="0" w:space="0" w:color="auto"/>
        <w:bottom w:val="none" w:sz="0" w:space="0" w:color="auto"/>
        <w:right w:val="none" w:sz="0" w:space="0" w:color="auto"/>
      </w:divBdr>
    </w:div>
    <w:div w:id="1327972620">
      <w:bodyDiv w:val="1"/>
      <w:marLeft w:val="0"/>
      <w:marRight w:val="0"/>
      <w:marTop w:val="0"/>
      <w:marBottom w:val="0"/>
      <w:divBdr>
        <w:top w:val="none" w:sz="0" w:space="0" w:color="auto"/>
        <w:left w:val="none" w:sz="0" w:space="0" w:color="auto"/>
        <w:bottom w:val="none" w:sz="0" w:space="0" w:color="auto"/>
        <w:right w:val="none" w:sz="0" w:space="0" w:color="auto"/>
      </w:divBdr>
    </w:div>
    <w:div w:id="1331760012">
      <w:bodyDiv w:val="1"/>
      <w:marLeft w:val="0"/>
      <w:marRight w:val="0"/>
      <w:marTop w:val="0"/>
      <w:marBottom w:val="0"/>
      <w:divBdr>
        <w:top w:val="none" w:sz="0" w:space="0" w:color="auto"/>
        <w:left w:val="none" w:sz="0" w:space="0" w:color="auto"/>
        <w:bottom w:val="none" w:sz="0" w:space="0" w:color="auto"/>
        <w:right w:val="none" w:sz="0" w:space="0" w:color="auto"/>
      </w:divBdr>
    </w:div>
    <w:div w:id="1337147943">
      <w:bodyDiv w:val="1"/>
      <w:marLeft w:val="0"/>
      <w:marRight w:val="0"/>
      <w:marTop w:val="0"/>
      <w:marBottom w:val="0"/>
      <w:divBdr>
        <w:top w:val="none" w:sz="0" w:space="0" w:color="auto"/>
        <w:left w:val="none" w:sz="0" w:space="0" w:color="auto"/>
        <w:bottom w:val="none" w:sz="0" w:space="0" w:color="auto"/>
        <w:right w:val="none" w:sz="0" w:space="0" w:color="auto"/>
      </w:divBdr>
    </w:div>
    <w:div w:id="1341199824">
      <w:bodyDiv w:val="1"/>
      <w:marLeft w:val="0"/>
      <w:marRight w:val="0"/>
      <w:marTop w:val="0"/>
      <w:marBottom w:val="0"/>
      <w:divBdr>
        <w:top w:val="none" w:sz="0" w:space="0" w:color="auto"/>
        <w:left w:val="none" w:sz="0" w:space="0" w:color="auto"/>
        <w:bottom w:val="none" w:sz="0" w:space="0" w:color="auto"/>
        <w:right w:val="none" w:sz="0" w:space="0" w:color="auto"/>
      </w:divBdr>
    </w:div>
    <w:div w:id="1348480185">
      <w:bodyDiv w:val="1"/>
      <w:marLeft w:val="0"/>
      <w:marRight w:val="0"/>
      <w:marTop w:val="0"/>
      <w:marBottom w:val="0"/>
      <w:divBdr>
        <w:top w:val="none" w:sz="0" w:space="0" w:color="auto"/>
        <w:left w:val="none" w:sz="0" w:space="0" w:color="auto"/>
        <w:bottom w:val="none" w:sz="0" w:space="0" w:color="auto"/>
        <w:right w:val="none" w:sz="0" w:space="0" w:color="auto"/>
      </w:divBdr>
    </w:div>
    <w:div w:id="1356806228">
      <w:bodyDiv w:val="1"/>
      <w:marLeft w:val="0"/>
      <w:marRight w:val="0"/>
      <w:marTop w:val="0"/>
      <w:marBottom w:val="0"/>
      <w:divBdr>
        <w:top w:val="none" w:sz="0" w:space="0" w:color="auto"/>
        <w:left w:val="none" w:sz="0" w:space="0" w:color="auto"/>
        <w:bottom w:val="none" w:sz="0" w:space="0" w:color="auto"/>
        <w:right w:val="none" w:sz="0" w:space="0" w:color="auto"/>
      </w:divBdr>
    </w:div>
    <w:div w:id="1359043258">
      <w:bodyDiv w:val="1"/>
      <w:marLeft w:val="0"/>
      <w:marRight w:val="0"/>
      <w:marTop w:val="0"/>
      <w:marBottom w:val="0"/>
      <w:divBdr>
        <w:top w:val="none" w:sz="0" w:space="0" w:color="auto"/>
        <w:left w:val="none" w:sz="0" w:space="0" w:color="auto"/>
        <w:bottom w:val="none" w:sz="0" w:space="0" w:color="auto"/>
        <w:right w:val="none" w:sz="0" w:space="0" w:color="auto"/>
      </w:divBdr>
    </w:div>
    <w:div w:id="1364094628">
      <w:bodyDiv w:val="1"/>
      <w:marLeft w:val="0"/>
      <w:marRight w:val="0"/>
      <w:marTop w:val="0"/>
      <w:marBottom w:val="0"/>
      <w:divBdr>
        <w:top w:val="none" w:sz="0" w:space="0" w:color="auto"/>
        <w:left w:val="none" w:sz="0" w:space="0" w:color="auto"/>
        <w:bottom w:val="none" w:sz="0" w:space="0" w:color="auto"/>
        <w:right w:val="none" w:sz="0" w:space="0" w:color="auto"/>
      </w:divBdr>
    </w:div>
    <w:div w:id="1366561692">
      <w:bodyDiv w:val="1"/>
      <w:marLeft w:val="0"/>
      <w:marRight w:val="0"/>
      <w:marTop w:val="0"/>
      <w:marBottom w:val="0"/>
      <w:divBdr>
        <w:top w:val="none" w:sz="0" w:space="0" w:color="auto"/>
        <w:left w:val="none" w:sz="0" w:space="0" w:color="auto"/>
        <w:bottom w:val="none" w:sz="0" w:space="0" w:color="auto"/>
        <w:right w:val="none" w:sz="0" w:space="0" w:color="auto"/>
      </w:divBdr>
    </w:div>
    <w:div w:id="1367636315">
      <w:bodyDiv w:val="1"/>
      <w:marLeft w:val="0"/>
      <w:marRight w:val="0"/>
      <w:marTop w:val="0"/>
      <w:marBottom w:val="0"/>
      <w:divBdr>
        <w:top w:val="none" w:sz="0" w:space="0" w:color="auto"/>
        <w:left w:val="none" w:sz="0" w:space="0" w:color="auto"/>
        <w:bottom w:val="none" w:sz="0" w:space="0" w:color="auto"/>
        <w:right w:val="none" w:sz="0" w:space="0" w:color="auto"/>
      </w:divBdr>
    </w:div>
    <w:div w:id="1368677126">
      <w:bodyDiv w:val="1"/>
      <w:marLeft w:val="0"/>
      <w:marRight w:val="0"/>
      <w:marTop w:val="0"/>
      <w:marBottom w:val="0"/>
      <w:divBdr>
        <w:top w:val="none" w:sz="0" w:space="0" w:color="auto"/>
        <w:left w:val="none" w:sz="0" w:space="0" w:color="auto"/>
        <w:bottom w:val="none" w:sz="0" w:space="0" w:color="auto"/>
        <w:right w:val="none" w:sz="0" w:space="0" w:color="auto"/>
      </w:divBdr>
    </w:div>
    <w:div w:id="1374034137">
      <w:bodyDiv w:val="1"/>
      <w:marLeft w:val="0"/>
      <w:marRight w:val="0"/>
      <w:marTop w:val="0"/>
      <w:marBottom w:val="0"/>
      <w:divBdr>
        <w:top w:val="none" w:sz="0" w:space="0" w:color="auto"/>
        <w:left w:val="none" w:sz="0" w:space="0" w:color="auto"/>
        <w:bottom w:val="none" w:sz="0" w:space="0" w:color="auto"/>
        <w:right w:val="none" w:sz="0" w:space="0" w:color="auto"/>
      </w:divBdr>
    </w:div>
    <w:div w:id="1375737071">
      <w:bodyDiv w:val="1"/>
      <w:marLeft w:val="0"/>
      <w:marRight w:val="0"/>
      <w:marTop w:val="0"/>
      <w:marBottom w:val="0"/>
      <w:divBdr>
        <w:top w:val="none" w:sz="0" w:space="0" w:color="auto"/>
        <w:left w:val="none" w:sz="0" w:space="0" w:color="auto"/>
        <w:bottom w:val="none" w:sz="0" w:space="0" w:color="auto"/>
        <w:right w:val="none" w:sz="0" w:space="0" w:color="auto"/>
      </w:divBdr>
    </w:div>
    <w:div w:id="1375931981">
      <w:bodyDiv w:val="1"/>
      <w:marLeft w:val="0"/>
      <w:marRight w:val="0"/>
      <w:marTop w:val="0"/>
      <w:marBottom w:val="0"/>
      <w:divBdr>
        <w:top w:val="none" w:sz="0" w:space="0" w:color="auto"/>
        <w:left w:val="none" w:sz="0" w:space="0" w:color="auto"/>
        <w:bottom w:val="none" w:sz="0" w:space="0" w:color="auto"/>
        <w:right w:val="none" w:sz="0" w:space="0" w:color="auto"/>
      </w:divBdr>
    </w:div>
    <w:div w:id="1377774293">
      <w:bodyDiv w:val="1"/>
      <w:marLeft w:val="0"/>
      <w:marRight w:val="0"/>
      <w:marTop w:val="0"/>
      <w:marBottom w:val="0"/>
      <w:divBdr>
        <w:top w:val="none" w:sz="0" w:space="0" w:color="auto"/>
        <w:left w:val="none" w:sz="0" w:space="0" w:color="auto"/>
        <w:bottom w:val="none" w:sz="0" w:space="0" w:color="auto"/>
        <w:right w:val="none" w:sz="0" w:space="0" w:color="auto"/>
      </w:divBdr>
    </w:div>
    <w:div w:id="1383939140">
      <w:bodyDiv w:val="1"/>
      <w:marLeft w:val="0"/>
      <w:marRight w:val="0"/>
      <w:marTop w:val="0"/>
      <w:marBottom w:val="0"/>
      <w:divBdr>
        <w:top w:val="none" w:sz="0" w:space="0" w:color="auto"/>
        <w:left w:val="none" w:sz="0" w:space="0" w:color="auto"/>
        <w:bottom w:val="none" w:sz="0" w:space="0" w:color="auto"/>
        <w:right w:val="none" w:sz="0" w:space="0" w:color="auto"/>
      </w:divBdr>
    </w:div>
    <w:div w:id="1385644281">
      <w:bodyDiv w:val="1"/>
      <w:marLeft w:val="0"/>
      <w:marRight w:val="0"/>
      <w:marTop w:val="0"/>
      <w:marBottom w:val="0"/>
      <w:divBdr>
        <w:top w:val="none" w:sz="0" w:space="0" w:color="auto"/>
        <w:left w:val="none" w:sz="0" w:space="0" w:color="auto"/>
        <w:bottom w:val="none" w:sz="0" w:space="0" w:color="auto"/>
        <w:right w:val="none" w:sz="0" w:space="0" w:color="auto"/>
      </w:divBdr>
    </w:div>
    <w:div w:id="1387338096">
      <w:bodyDiv w:val="1"/>
      <w:marLeft w:val="0"/>
      <w:marRight w:val="0"/>
      <w:marTop w:val="0"/>
      <w:marBottom w:val="0"/>
      <w:divBdr>
        <w:top w:val="none" w:sz="0" w:space="0" w:color="auto"/>
        <w:left w:val="none" w:sz="0" w:space="0" w:color="auto"/>
        <w:bottom w:val="none" w:sz="0" w:space="0" w:color="auto"/>
        <w:right w:val="none" w:sz="0" w:space="0" w:color="auto"/>
      </w:divBdr>
    </w:div>
    <w:div w:id="1389526002">
      <w:bodyDiv w:val="1"/>
      <w:marLeft w:val="0"/>
      <w:marRight w:val="0"/>
      <w:marTop w:val="0"/>
      <w:marBottom w:val="0"/>
      <w:divBdr>
        <w:top w:val="none" w:sz="0" w:space="0" w:color="auto"/>
        <w:left w:val="none" w:sz="0" w:space="0" w:color="auto"/>
        <w:bottom w:val="none" w:sz="0" w:space="0" w:color="auto"/>
        <w:right w:val="none" w:sz="0" w:space="0" w:color="auto"/>
      </w:divBdr>
    </w:div>
    <w:div w:id="1394432408">
      <w:bodyDiv w:val="1"/>
      <w:marLeft w:val="0"/>
      <w:marRight w:val="0"/>
      <w:marTop w:val="0"/>
      <w:marBottom w:val="0"/>
      <w:divBdr>
        <w:top w:val="none" w:sz="0" w:space="0" w:color="auto"/>
        <w:left w:val="none" w:sz="0" w:space="0" w:color="auto"/>
        <w:bottom w:val="none" w:sz="0" w:space="0" w:color="auto"/>
        <w:right w:val="none" w:sz="0" w:space="0" w:color="auto"/>
      </w:divBdr>
    </w:div>
    <w:div w:id="1396784545">
      <w:bodyDiv w:val="1"/>
      <w:marLeft w:val="0"/>
      <w:marRight w:val="0"/>
      <w:marTop w:val="0"/>
      <w:marBottom w:val="0"/>
      <w:divBdr>
        <w:top w:val="none" w:sz="0" w:space="0" w:color="auto"/>
        <w:left w:val="none" w:sz="0" w:space="0" w:color="auto"/>
        <w:bottom w:val="none" w:sz="0" w:space="0" w:color="auto"/>
        <w:right w:val="none" w:sz="0" w:space="0" w:color="auto"/>
      </w:divBdr>
    </w:div>
    <w:div w:id="1398749032">
      <w:bodyDiv w:val="1"/>
      <w:marLeft w:val="0"/>
      <w:marRight w:val="0"/>
      <w:marTop w:val="0"/>
      <w:marBottom w:val="0"/>
      <w:divBdr>
        <w:top w:val="none" w:sz="0" w:space="0" w:color="auto"/>
        <w:left w:val="none" w:sz="0" w:space="0" w:color="auto"/>
        <w:bottom w:val="none" w:sz="0" w:space="0" w:color="auto"/>
        <w:right w:val="none" w:sz="0" w:space="0" w:color="auto"/>
      </w:divBdr>
    </w:div>
    <w:div w:id="1403404713">
      <w:bodyDiv w:val="1"/>
      <w:marLeft w:val="0"/>
      <w:marRight w:val="0"/>
      <w:marTop w:val="0"/>
      <w:marBottom w:val="0"/>
      <w:divBdr>
        <w:top w:val="none" w:sz="0" w:space="0" w:color="auto"/>
        <w:left w:val="none" w:sz="0" w:space="0" w:color="auto"/>
        <w:bottom w:val="none" w:sz="0" w:space="0" w:color="auto"/>
        <w:right w:val="none" w:sz="0" w:space="0" w:color="auto"/>
      </w:divBdr>
      <w:divsChild>
        <w:div w:id="348727737">
          <w:marLeft w:val="0"/>
          <w:marRight w:val="0"/>
          <w:marTop w:val="0"/>
          <w:marBottom w:val="0"/>
          <w:divBdr>
            <w:top w:val="none" w:sz="0" w:space="0" w:color="auto"/>
            <w:left w:val="none" w:sz="0" w:space="0" w:color="auto"/>
            <w:bottom w:val="none" w:sz="0" w:space="0" w:color="auto"/>
            <w:right w:val="none" w:sz="0" w:space="0" w:color="auto"/>
          </w:divBdr>
        </w:div>
        <w:div w:id="633875133">
          <w:marLeft w:val="0"/>
          <w:marRight w:val="0"/>
          <w:marTop w:val="0"/>
          <w:marBottom w:val="0"/>
          <w:divBdr>
            <w:top w:val="none" w:sz="0" w:space="0" w:color="auto"/>
            <w:left w:val="none" w:sz="0" w:space="0" w:color="auto"/>
            <w:bottom w:val="none" w:sz="0" w:space="0" w:color="auto"/>
            <w:right w:val="none" w:sz="0" w:space="0" w:color="auto"/>
          </w:divBdr>
        </w:div>
        <w:div w:id="697123293">
          <w:marLeft w:val="0"/>
          <w:marRight w:val="0"/>
          <w:marTop w:val="0"/>
          <w:marBottom w:val="0"/>
          <w:divBdr>
            <w:top w:val="none" w:sz="0" w:space="0" w:color="auto"/>
            <w:left w:val="none" w:sz="0" w:space="0" w:color="auto"/>
            <w:bottom w:val="none" w:sz="0" w:space="0" w:color="auto"/>
            <w:right w:val="none" w:sz="0" w:space="0" w:color="auto"/>
          </w:divBdr>
        </w:div>
        <w:div w:id="1394541870">
          <w:marLeft w:val="0"/>
          <w:marRight w:val="0"/>
          <w:marTop w:val="0"/>
          <w:marBottom w:val="0"/>
          <w:divBdr>
            <w:top w:val="none" w:sz="0" w:space="0" w:color="auto"/>
            <w:left w:val="none" w:sz="0" w:space="0" w:color="auto"/>
            <w:bottom w:val="none" w:sz="0" w:space="0" w:color="auto"/>
            <w:right w:val="none" w:sz="0" w:space="0" w:color="auto"/>
          </w:divBdr>
        </w:div>
        <w:div w:id="961299774">
          <w:marLeft w:val="0"/>
          <w:marRight w:val="0"/>
          <w:marTop w:val="0"/>
          <w:marBottom w:val="0"/>
          <w:divBdr>
            <w:top w:val="none" w:sz="0" w:space="0" w:color="auto"/>
            <w:left w:val="none" w:sz="0" w:space="0" w:color="auto"/>
            <w:bottom w:val="none" w:sz="0" w:space="0" w:color="auto"/>
            <w:right w:val="none" w:sz="0" w:space="0" w:color="auto"/>
          </w:divBdr>
        </w:div>
        <w:div w:id="3174887">
          <w:marLeft w:val="0"/>
          <w:marRight w:val="0"/>
          <w:marTop w:val="0"/>
          <w:marBottom w:val="0"/>
          <w:divBdr>
            <w:top w:val="none" w:sz="0" w:space="0" w:color="auto"/>
            <w:left w:val="none" w:sz="0" w:space="0" w:color="auto"/>
            <w:bottom w:val="none" w:sz="0" w:space="0" w:color="auto"/>
            <w:right w:val="none" w:sz="0" w:space="0" w:color="auto"/>
          </w:divBdr>
        </w:div>
        <w:div w:id="1418408407">
          <w:marLeft w:val="0"/>
          <w:marRight w:val="0"/>
          <w:marTop w:val="0"/>
          <w:marBottom w:val="0"/>
          <w:divBdr>
            <w:top w:val="none" w:sz="0" w:space="0" w:color="auto"/>
            <w:left w:val="none" w:sz="0" w:space="0" w:color="auto"/>
            <w:bottom w:val="none" w:sz="0" w:space="0" w:color="auto"/>
            <w:right w:val="none" w:sz="0" w:space="0" w:color="auto"/>
          </w:divBdr>
        </w:div>
        <w:div w:id="573516118">
          <w:marLeft w:val="0"/>
          <w:marRight w:val="0"/>
          <w:marTop w:val="0"/>
          <w:marBottom w:val="0"/>
          <w:divBdr>
            <w:top w:val="none" w:sz="0" w:space="0" w:color="auto"/>
            <w:left w:val="none" w:sz="0" w:space="0" w:color="auto"/>
            <w:bottom w:val="none" w:sz="0" w:space="0" w:color="auto"/>
            <w:right w:val="none" w:sz="0" w:space="0" w:color="auto"/>
          </w:divBdr>
        </w:div>
      </w:divsChild>
    </w:div>
    <w:div w:id="1404328211">
      <w:bodyDiv w:val="1"/>
      <w:marLeft w:val="0"/>
      <w:marRight w:val="0"/>
      <w:marTop w:val="0"/>
      <w:marBottom w:val="0"/>
      <w:divBdr>
        <w:top w:val="none" w:sz="0" w:space="0" w:color="auto"/>
        <w:left w:val="none" w:sz="0" w:space="0" w:color="auto"/>
        <w:bottom w:val="none" w:sz="0" w:space="0" w:color="auto"/>
        <w:right w:val="none" w:sz="0" w:space="0" w:color="auto"/>
      </w:divBdr>
    </w:div>
    <w:div w:id="1405180954">
      <w:bodyDiv w:val="1"/>
      <w:marLeft w:val="0"/>
      <w:marRight w:val="0"/>
      <w:marTop w:val="0"/>
      <w:marBottom w:val="0"/>
      <w:divBdr>
        <w:top w:val="none" w:sz="0" w:space="0" w:color="auto"/>
        <w:left w:val="none" w:sz="0" w:space="0" w:color="auto"/>
        <w:bottom w:val="none" w:sz="0" w:space="0" w:color="auto"/>
        <w:right w:val="none" w:sz="0" w:space="0" w:color="auto"/>
      </w:divBdr>
    </w:div>
    <w:div w:id="1410153417">
      <w:bodyDiv w:val="1"/>
      <w:marLeft w:val="0"/>
      <w:marRight w:val="0"/>
      <w:marTop w:val="0"/>
      <w:marBottom w:val="0"/>
      <w:divBdr>
        <w:top w:val="none" w:sz="0" w:space="0" w:color="auto"/>
        <w:left w:val="none" w:sz="0" w:space="0" w:color="auto"/>
        <w:bottom w:val="none" w:sz="0" w:space="0" w:color="auto"/>
        <w:right w:val="none" w:sz="0" w:space="0" w:color="auto"/>
      </w:divBdr>
    </w:div>
    <w:div w:id="1426802518">
      <w:bodyDiv w:val="1"/>
      <w:marLeft w:val="0"/>
      <w:marRight w:val="0"/>
      <w:marTop w:val="0"/>
      <w:marBottom w:val="0"/>
      <w:divBdr>
        <w:top w:val="none" w:sz="0" w:space="0" w:color="auto"/>
        <w:left w:val="none" w:sz="0" w:space="0" w:color="auto"/>
        <w:bottom w:val="none" w:sz="0" w:space="0" w:color="auto"/>
        <w:right w:val="none" w:sz="0" w:space="0" w:color="auto"/>
      </w:divBdr>
    </w:div>
    <w:div w:id="1426875865">
      <w:bodyDiv w:val="1"/>
      <w:marLeft w:val="0"/>
      <w:marRight w:val="0"/>
      <w:marTop w:val="0"/>
      <w:marBottom w:val="0"/>
      <w:divBdr>
        <w:top w:val="none" w:sz="0" w:space="0" w:color="auto"/>
        <w:left w:val="none" w:sz="0" w:space="0" w:color="auto"/>
        <w:bottom w:val="none" w:sz="0" w:space="0" w:color="auto"/>
        <w:right w:val="none" w:sz="0" w:space="0" w:color="auto"/>
      </w:divBdr>
    </w:div>
    <w:div w:id="1428767636">
      <w:bodyDiv w:val="1"/>
      <w:marLeft w:val="0"/>
      <w:marRight w:val="0"/>
      <w:marTop w:val="0"/>
      <w:marBottom w:val="0"/>
      <w:divBdr>
        <w:top w:val="none" w:sz="0" w:space="0" w:color="auto"/>
        <w:left w:val="none" w:sz="0" w:space="0" w:color="auto"/>
        <w:bottom w:val="none" w:sz="0" w:space="0" w:color="auto"/>
        <w:right w:val="none" w:sz="0" w:space="0" w:color="auto"/>
      </w:divBdr>
      <w:divsChild>
        <w:div w:id="1653368994">
          <w:marLeft w:val="0"/>
          <w:marRight w:val="0"/>
          <w:marTop w:val="0"/>
          <w:marBottom w:val="0"/>
          <w:divBdr>
            <w:top w:val="none" w:sz="0" w:space="0" w:color="auto"/>
            <w:left w:val="none" w:sz="0" w:space="0" w:color="auto"/>
            <w:bottom w:val="none" w:sz="0" w:space="0" w:color="auto"/>
            <w:right w:val="none" w:sz="0" w:space="0" w:color="auto"/>
          </w:divBdr>
        </w:div>
        <w:div w:id="1028071170">
          <w:marLeft w:val="0"/>
          <w:marRight w:val="0"/>
          <w:marTop w:val="0"/>
          <w:marBottom w:val="0"/>
          <w:divBdr>
            <w:top w:val="none" w:sz="0" w:space="0" w:color="auto"/>
            <w:left w:val="none" w:sz="0" w:space="0" w:color="auto"/>
            <w:bottom w:val="none" w:sz="0" w:space="0" w:color="auto"/>
            <w:right w:val="none" w:sz="0" w:space="0" w:color="auto"/>
          </w:divBdr>
        </w:div>
        <w:div w:id="842663257">
          <w:marLeft w:val="0"/>
          <w:marRight w:val="0"/>
          <w:marTop w:val="0"/>
          <w:marBottom w:val="0"/>
          <w:divBdr>
            <w:top w:val="none" w:sz="0" w:space="0" w:color="auto"/>
            <w:left w:val="none" w:sz="0" w:space="0" w:color="auto"/>
            <w:bottom w:val="none" w:sz="0" w:space="0" w:color="auto"/>
            <w:right w:val="none" w:sz="0" w:space="0" w:color="auto"/>
          </w:divBdr>
        </w:div>
        <w:div w:id="601954894">
          <w:marLeft w:val="0"/>
          <w:marRight w:val="0"/>
          <w:marTop w:val="0"/>
          <w:marBottom w:val="0"/>
          <w:divBdr>
            <w:top w:val="none" w:sz="0" w:space="0" w:color="auto"/>
            <w:left w:val="none" w:sz="0" w:space="0" w:color="auto"/>
            <w:bottom w:val="none" w:sz="0" w:space="0" w:color="auto"/>
            <w:right w:val="none" w:sz="0" w:space="0" w:color="auto"/>
          </w:divBdr>
        </w:div>
        <w:div w:id="815758759">
          <w:marLeft w:val="0"/>
          <w:marRight w:val="0"/>
          <w:marTop w:val="0"/>
          <w:marBottom w:val="0"/>
          <w:divBdr>
            <w:top w:val="none" w:sz="0" w:space="0" w:color="auto"/>
            <w:left w:val="none" w:sz="0" w:space="0" w:color="auto"/>
            <w:bottom w:val="none" w:sz="0" w:space="0" w:color="auto"/>
            <w:right w:val="none" w:sz="0" w:space="0" w:color="auto"/>
          </w:divBdr>
        </w:div>
        <w:div w:id="197861606">
          <w:marLeft w:val="0"/>
          <w:marRight w:val="0"/>
          <w:marTop w:val="0"/>
          <w:marBottom w:val="0"/>
          <w:divBdr>
            <w:top w:val="none" w:sz="0" w:space="0" w:color="auto"/>
            <w:left w:val="none" w:sz="0" w:space="0" w:color="auto"/>
            <w:bottom w:val="none" w:sz="0" w:space="0" w:color="auto"/>
            <w:right w:val="none" w:sz="0" w:space="0" w:color="auto"/>
          </w:divBdr>
        </w:div>
        <w:div w:id="685014777">
          <w:marLeft w:val="0"/>
          <w:marRight w:val="0"/>
          <w:marTop w:val="0"/>
          <w:marBottom w:val="0"/>
          <w:divBdr>
            <w:top w:val="none" w:sz="0" w:space="0" w:color="auto"/>
            <w:left w:val="none" w:sz="0" w:space="0" w:color="auto"/>
            <w:bottom w:val="none" w:sz="0" w:space="0" w:color="auto"/>
            <w:right w:val="none" w:sz="0" w:space="0" w:color="auto"/>
          </w:divBdr>
        </w:div>
        <w:div w:id="1392730127">
          <w:marLeft w:val="0"/>
          <w:marRight w:val="0"/>
          <w:marTop w:val="0"/>
          <w:marBottom w:val="0"/>
          <w:divBdr>
            <w:top w:val="none" w:sz="0" w:space="0" w:color="auto"/>
            <w:left w:val="none" w:sz="0" w:space="0" w:color="auto"/>
            <w:bottom w:val="none" w:sz="0" w:space="0" w:color="auto"/>
            <w:right w:val="none" w:sz="0" w:space="0" w:color="auto"/>
          </w:divBdr>
        </w:div>
      </w:divsChild>
    </w:div>
    <w:div w:id="1439906079">
      <w:bodyDiv w:val="1"/>
      <w:marLeft w:val="0"/>
      <w:marRight w:val="0"/>
      <w:marTop w:val="0"/>
      <w:marBottom w:val="0"/>
      <w:divBdr>
        <w:top w:val="none" w:sz="0" w:space="0" w:color="auto"/>
        <w:left w:val="none" w:sz="0" w:space="0" w:color="auto"/>
        <w:bottom w:val="none" w:sz="0" w:space="0" w:color="auto"/>
        <w:right w:val="none" w:sz="0" w:space="0" w:color="auto"/>
      </w:divBdr>
    </w:div>
    <w:div w:id="1446846428">
      <w:bodyDiv w:val="1"/>
      <w:marLeft w:val="0"/>
      <w:marRight w:val="0"/>
      <w:marTop w:val="0"/>
      <w:marBottom w:val="0"/>
      <w:divBdr>
        <w:top w:val="none" w:sz="0" w:space="0" w:color="auto"/>
        <w:left w:val="none" w:sz="0" w:space="0" w:color="auto"/>
        <w:bottom w:val="none" w:sz="0" w:space="0" w:color="auto"/>
        <w:right w:val="none" w:sz="0" w:space="0" w:color="auto"/>
      </w:divBdr>
    </w:div>
    <w:div w:id="1448114041">
      <w:bodyDiv w:val="1"/>
      <w:marLeft w:val="0"/>
      <w:marRight w:val="0"/>
      <w:marTop w:val="0"/>
      <w:marBottom w:val="0"/>
      <w:divBdr>
        <w:top w:val="none" w:sz="0" w:space="0" w:color="auto"/>
        <w:left w:val="none" w:sz="0" w:space="0" w:color="auto"/>
        <w:bottom w:val="none" w:sz="0" w:space="0" w:color="auto"/>
        <w:right w:val="none" w:sz="0" w:space="0" w:color="auto"/>
      </w:divBdr>
    </w:div>
    <w:div w:id="1450082127">
      <w:bodyDiv w:val="1"/>
      <w:marLeft w:val="0"/>
      <w:marRight w:val="0"/>
      <w:marTop w:val="0"/>
      <w:marBottom w:val="0"/>
      <w:divBdr>
        <w:top w:val="none" w:sz="0" w:space="0" w:color="auto"/>
        <w:left w:val="none" w:sz="0" w:space="0" w:color="auto"/>
        <w:bottom w:val="none" w:sz="0" w:space="0" w:color="auto"/>
        <w:right w:val="none" w:sz="0" w:space="0" w:color="auto"/>
      </w:divBdr>
    </w:div>
    <w:div w:id="1451972041">
      <w:bodyDiv w:val="1"/>
      <w:marLeft w:val="0"/>
      <w:marRight w:val="0"/>
      <w:marTop w:val="0"/>
      <w:marBottom w:val="0"/>
      <w:divBdr>
        <w:top w:val="none" w:sz="0" w:space="0" w:color="auto"/>
        <w:left w:val="none" w:sz="0" w:space="0" w:color="auto"/>
        <w:bottom w:val="none" w:sz="0" w:space="0" w:color="auto"/>
        <w:right w:val="none" w:sz="0" w:space="0" w:color="auto"/>
      </w:divBdr>
    </w:div>
    <w:div w:id="1453013995">
      <w:bodyDiv w:val="1"/>
      <w:marLeft w:val="0"/>
      <w:marRight w:val="0"/>
      <w:marTop w:val="0"/>
      <w:marBottom w:val="0"/>
      <w:divBdr>
        <w:top w:val="none" w:sz="0" w:space="0" w:color="auto"/>
        <w:left w:val="none" w:sz="0" w:space="0" w:color="auto"/>
        <w:bottom w:val="none" w:sz="0" w:space="0" w:color="auto"/>
        <w:right w:val="none" w:sz="0" w:space="0" w:color="auto"/>
      </w:divBdr>
    </w:div>
    <w:div w:id="1463496825">
      <w:bodyDiv w:val="1"/>
      <w:marLeft w:val="0"/>
      <w:marRight w:val="0"/>
      <w:marTop w:val="0"/>
      <w:marBottom w:val="0"/>
      <w:divBdr>
        <w:top w:val="none" w:sz="0" w:space="0" w:color="auto"/>
        <w:left w:val="none" w:sz="0" w:space="0" w:color="auto"/>
        <w:bottom w:val="none" w:sz="0" w:space="0" w:color="auto"/>
        <w:right w:val="none" w:sz="0" w:space="0" w:color="auto"/>
      </w:divBdr>
    </w:div>
    <w:div w:id="1481121118">
      <w:bodyDiv w:val="1"/>
      <w:marLeft w:val="0"/>
      <w:marRight w:val="0"/>
      <w:marTop w:val="0"/>
      <w:marBottom w:val="0"/>
      <w:divBdr>
        <w:top w:val="none" w:sz="0" w:space="0" w:color="auto"/>
        <w:left w:val="none" w:sz="0" w:space="0" w:color="auto"/>
        <w:bottom w:val="none" w:sz="0" w:space="0" w:color="auto"/>
        <w:right w:val="none" w:sz="0" w:space="0" w:color="auto"/>
      </w:divBdr>
    </w:div>
    <w:div w:id="1481573850">
      <w:bodyDiv w:val="1"/>
      <w:marLeft w:val="0"/>
      <w:marRight w:val="0"/>
      <w:marTop w:val="0"/>
      <w:marBottom w:val="0"/>
      <w:divBdr>
        <w:top w:val="none" w:sz="0" w:space="0" w:color="auto"/>
        <w:left w:val="none" w:sz="0" w:space="0" w:color="auto"/>
        <w:bottom w:val="none" w:sz="0" w:space="0" w:color="auto"/>
        <w:right w:val="none" w:sz="0" w:space="0" w:color="auto"/>
      </w:divBdr>
    </w:div>
    <w:div w:id="1490898204">
      <w:bodyDiv w:val="1"/>
      <w:marLeft w:val="0"/>
      <w:marRight w:val="0"/>
      <w:marTop w:val="0"/>
      <w:marBottom w:val="0"/>
      <w:divBdr>
        <w:top w:val="none" w:sz="0" w:space="0" w:color="auto"/>
        <w:left w:val="none" w:sz="0" w:space="0" w:color="auto"/>
        <w:bottom w:val="none" w:sz="0" w:space="0" w:color="auto"/>
        <w:right w:val="none" w:sz="0" w:space="0" w:color="auto"/>
      </w:divBdr>
    </w:div>
    <w:div w:id="1503012501">
      <w:bodyDiv w:val="1"/>
      <w:marLeft w:val="0"/>
      <w:marRight w:val="0"/>
      <w:marTop w:val="0"/>
      <w:marBottom w:val="0"/>
      <w:divBdr>
        <w:top w:val="none" w:sz="0" w:space="0" w:color="auto"/>
        <w:left w:val="none" w:sz="0" w:space="0" w:color="auto"/>
        <w:bottom w:val="none" w:sz="0" w:space="0" w:color="auto"/>
        <w:right w:val="none" w:sz="0" w:space="0" w:color="auto"/>
      </w:divBdr>
    </w:div>
    <w:div w:id="1508984476">
      <w:bodyDiv w:val="1"/>
      <w:marLeft w:val="0"/>
      <w:marRight w:val="0"/>
      <w:marTop w:val="0"/>
      <w:marBottom w:val="0"/>
      <w:divBdr>
        <w:top w:val="none" w:sz="0" w:space="0" w:color="auto"/>
        <w:left w:val="none" w:sz="0" w:space="0" w:color="auto"/>
        <w:bottom w:val="none" w:sz="0" w:space="0" w:color="auto"/>
        <w:right w:val="none" w:sz="0" w:space="0" w:color="auto"/>
      </w:divBdr>
    </w:div>
    <w:div w:id="1514488634">
      <w:bodyDiv w:val="1"/>
      <w:marLeft w:val="0"/>
      <w:marRight w:val="0"/>
      <w:marTop w:val="0"/>
      <w:marBottom w:val="0"/>
      <w:divBdr>
        <w:top w:val="none" w:sz="0" w:space="0" w:color="auto"/>
        <w:left w:val="none" w:sz="0" w:space="0" w:color="auto"/>
        <w:bottom w:val="none" w:sz="0" w:space="0" w:color="auto"/>
        <w:right w:val="none" w:sz="0" w:space="0" w:color="auto"/>
      </w:divBdr>
      <w:divsChild>
        <w:div w:id="1540163874">
          <w:marLeft w:val="0"/>
          <w:marRight w:val="0"/>
          <w:marTop w:val="0"/>
          <w:marBottom w:val="0"/>
          <w:divBdr>
            <w:top w:val="none" w:sz="0" w:space="0" w:color="auto"/>
            <w:left w:val="none" w:sz="0" w:space="0" w:color="auto"/>
            <w:bottom w:val="none" w:sz="0" w:space="0" w:color="auto"/>
            <w:right w:val="none" w:sz="0" w:space="0" w:color="auto"/>
          </w:divBdr>
        </w:div>
        <w:div w:id="1536314172">
          <w:marLeft w:val="0"/>
          <w:marRight w:val="0"/>
          <w:marTop w:val="0"/>
          <w:marBottom w:val="0"/>
          <w:divBdr>
            <w:top w:val="none" w:sz="0" w:space="0" w:color="auto"/>
            <w:left w:val="none" w:sz="0" w:space="0" w:color="auto"/>
            <w:bottom w:val="none" w:sz="0" w:space="0" w:color="auto"/>
            <w:right w:val="none" w:sz="0" w:space="0" w:color="auto"/>
          </w:divBdr>
        </w:div>
        <w:div w:id="1746224294">
          <w:marLeft w:val="0"/>
          <w:marRight w:val="0"/>
          <w:marTop w:val="0"/>
          <w:marBottom w:val="0"/>
          <w:divBdr>
            <w:top w:val="none" w:sz="0" w:space="0" w:color="auto"/>
            <w:left w:val="none" w:sz="0" w:space="0" w:color="auto"/>
            <w:bottom w:val="none" w:sz="0" w:space="0" w:color="auto"/>
            <w:right w:val="none" w:sz="0" w:space="0" w:color="auto"/>
          </w:divBdr>
        </w:div>
        <w:div w:id="506988560">
          <w:marLeft w:val="0"/>
          <w:marRight w:val="0"/>
          <w:marTop w:val="0"/>
          <w:marBottom w:val="0"/>
          <w:divBdr>
            <w:top w:val="none" w:sz="0" w:space="0" w:color="auto"/>
            <w:left w:val="none" w:sz="0" w:space="0" w:color="auto"/>
            <w:bottom w:val="none" w:sz="0" w:space="0" w:color="auto"/>
            <w:right w:val="none" w:sz="0" w:space="0" w:color="auto"/>
          </w:divBdr>
        </w:div>
      </w:divsChild>
    </w:div>
    <w:div w:id="1520925518">
      <w:bodyDiv w:val="1"/>
      <w:marLeft w:val="0"/>
      <w:marRight w:val="0"/>
      <w:marTop w:val="0"/>
      <w:marBottom w:val="0"/>
      <w:divBdr>
        <w:top w:val="none" w:sz="0" w:space="0" w:color="auto"/>
        <w:left w:val="none" w:sz="0" w:space="0" w:color="auto"/>
        <w:bottom w:val="none" w:sz="0" w:space="0" w:color="auto"/>
        <w:right w:val="none" w:sz="0" w:space="0" w:color="auto"/>
      </w:divBdr>
    </w:div>
    <w:div w:id="1522669843">
      <w:bodyDiv w:val="1"/>
      <w:marLeft w:val="0"/>
      <w:marRight w:val="0"/>
      <w:marTop w:val="0"/>
      <w:marBottom w:val="0"/>
      <w:divBdr>
        <w:top w:val="none" w:sz="0" w:space="0" w:color="auto"/>
        <w:left w:val="none" w:sz="0" w:space="0" w:color="auto"/>
        <w:bottom w:val="none" w:sz="0" w:space="0" w:color="auto"/>
        <w:right w:val="none" w:sz="0" w:space="0" w:color="auto"/>
      </w:divBdr>
    </w:div>
    <w:div w:id="1525095151">
      <w:bodyDiv w:val="1"/>
      <w:marLeft w:val="0"/>
      <w:marRight w:val="0"/>
      <w:marTop w:val="0"/>
      <w:marBottom w:val="0"/>
      <w:divBdr>
        <w:top w:val="none" w:sz="0" w:space="0" w:color="auto"/>
        <w:left w:val="none" w:sz="0" w:space="0" w:color="auto"/>
        <w:bottom w:val="none" w:sz="0" w:space="0" w:color="auto"/>
        <w:right w:val="none" w:sz="0" w:space="0" w:color="auto"/>
      </w:divBdr>
    </w:div>
    <w:div w:id="1531652241">
      <w:bodyDiv w:val="1"/>
      <w:marLeft w:val="0"/>
      <w:marRight w:val="0"/>
      <w:marTop w:val="0"/>
      <w:marBottom w:val="0"/>
      <w:divBdr>
        <w:top w:val="none" w:sz="0" w:space="0" w:color="auto"/>
        <w:left w:val="none" w:sz="0" w:space="0" w:color="auto"/>
        <w:bottom w:val="none" w:sz="0" w:space="0" w:color="auto"/>
        <w:right w:val="none" w:sz="0" w:space="0" w:color="auto"/>
      </w:divBdr>
    </w:div>
    <w:div w:id="1533492102">
      <w:bodyDiv w:val="1"/>
      <w:marLeft w:val="0"/>
      <w:marRight w:val="0"/>
      <w:marTop w:val="0"/>
      <w:marBottom w:val="0"/>
      <w:divBdr>
        <w:top w:val="none" w:sz="0" w:space="0" w:color="auto"/>
        <w:left w:val="none" w:sz="0" w:space="0" w:color="auto"/>
        <w:bottom w:val="none" w:sz="0" w:space="0" w:color="auto"/>
        <w:right w:val="none" w:sz="0" w:space="0" w:color="auto"/>
      </w:divBdr>
    </w:div>
    <w:div w:id="1534342966">
      <w:bodyDiv w:val="1"/>
      <w:marLeft w:val="0"/>
      <w:marRight w:val="0"/>
      <w:marTop w:val="0"/>
      <w:marBottom w:val="0"/>
      <w:divBdr>
        <w:top w:val="none" w:sz="0" w:space="0" w:color="auto"/>
        <w:left w:val="none" w:sz="0" w:space="0" w:color="auto"/>
        <w:bottom w:val="none" w:sz="0" w:space="0" w:color="auto"/>
        <w:right w:val="none" w:sz="0" w:space="0" w:color="auto"/>
      </w:divBdr>
    </w:div>
    <w:div w:id="1534688473">
      <w:bodyDiv w:val="1"/>
      <w:marLeft w:val="0"/>
      <w:marRight w:val="0"/>
      <w:marTop w:val="0"/>
      <w:marBottom w:val="0"/>
      <w:divBdr>
        <w:top w:val="none" w:sz="0" w:space="0" w:color="auto"/>
        <w:left w:val="none" w:sz="0" w:space="0" w:color="auto"/>
        <w:bottom w:val="none" w:sz="0" w:space="0" w:color="auto"/>
        <w:right w:val="none" w:sz="0" w:space="0" w:color="auto"/>
      </w:divBdr>
    </w:div>
    <w:div w:id="1535465556">
      <w:bodyDiv w:val="1"/>
      <w:marLeft w:val="0"/>
      <w:marRight w:val="0"/>
      <w:marTop w:val="0"/>
      <w:marBottom w:val="0"/>
      <w:divBdr>
        <w:top w:val="none" w:sz="0" w:space="0" w:color="auto"/>
        <w:left w:val="none" w:sz="0" w:space="0" w:color="auto"/>
        <w:bottom w:val="none" w:sz="0" w:space="0" w:color="auto"/>
        <w:right w:val="none" w:sz="0" w:space="0" w:color="auto"/>
      </w:divBdr>
    </w:div>
    <w:div w:id="1539048623">
      <w:bodyDiv w:val="1"/>
      <w:marLeft w:val="0"/>
      <w:marRight w:val="0"/>
      <w:marTop w:val="0"/>
      <w:marBottom w:val="0"/>
      <w:divBdr>
        <w:top w:val="none" w:sz="0" w:space="0" w:color="auto"/>
        <w:left w:val="none" w:sz="0" w:space="0" w:color="auto"/>
        <w:bottom w:val="none" w:sz="0" w:space="0" w:color="auto"/>
        <w:right w:val="none" w:sz="0" w:space="0" w:color="auto"/>
      </w:divBdr>
    </w:div>
    <w:div w:id="1542010558">
      <w:bodyDiv w:val="1"/>
      <w:marLeft w:val="0"/>
      <w:marRight w:val="0"/>
      <w:marTop w:val="0"/>
      <w:marBottom w:val="0"/>
      <w:divBdr>
        <w:top w:val="none" w:sz="0" w:space="0" w:color="auto"/>
        <w:left w:val="none" w:sz="0" w:space="0" w:color="auto"/>
        <w:bottom w:val="none" w:sz="0" w:space="0" w:color="auto"/>
        <w:right w:val="none" w:sz="0" w:space="0" w:color="auto"/>
      </w:divBdr>
      <w:divsChild>
        <w:div w:id="828594131">
          <w:marLeft w:val="0"/>
          <w:marRight w:val="0"/>
          <w:marTop w:val="0"/>
          <w:marBottom w:val="0"/>
          <w:divBdr>
            <w:top w:val="none" w:sz="0" w:space="0" w:color="auto"/>
            <w:left w:val="none" w:sz="0" w:space="0" w:color="auto"/>
            <w:bottom w:val="none" w:sz="0" w:space="0" w:color="auto"/>
            <w:right w:val="none" w:sz="0" w:space="0" w:color="auto"/>
          </w:divBdr>
        </w:div>
      </w:divsChild>
    </w:div>
    <w:div w:id="1542087050">
      <w:bodyDiv w:val="1"/>
      <w:marLeft w:val="0"/>
      <w:marRight w:val="0"/>
      <w:marTop w:val="0"/>
      <w:marBottom w:val="0"/>
      <w:divBdr>
        <w:top w:val="none" w:sz="0" w:space="0" w:color="auto"/>
        <w:left w:val="none" w:sz="0" w:space="0" w:color="auto"/>
        <w:bottom w:val="none" w:sz="0" w:space="0" w:color="auto"/>
        <w:right w:val="none" w:sz="0" w:space="0" w:color="auto"/>
      </w:divBdr>
    </w:div>
    <w:div w:id="1551845969">
      <w:bodyDiv w:val="1"/>
      <w:marLeft w:val="0"/>
      <w:marRight w:val="0"/>
      <w:marTop w:val="0"/>
      <w:marBottom w:val="0"/>
      <w:divBdr>
        <w:top w:val="none" w:sz="0" w:space="0" w:color="auto"/>
        <w:left w:val="none" w:sz="0" w:space="0" w:color="auto"/>
        <w:bottom w:val="none" w:sz="0" w:space="0" w:color="auto"/>
        <w:right w:val="none" w:sz="0" w:space="0" w:color="auto"/>
      </w:divBdr>
    </w:div>
    <w:div w:id="1553301254">
      <w:bodyDiv w:val="1"/>
      <w:marLeft w:val="0"/>
      <w:marRight w:val="0"/>
      <w:marTop w:val="0"/>
      <w:marBottom w:val="0"/>
      <w:divBdr>
        <w:top w:val="none" w:sz="0" w:space="0" w:color="auto"/>
        <w:left w:val="none" w:sz="0" w:space="0" w:color="auto"/>
        <w:bottom w:val="none" w:sz="0" w:space="0" w:color="auto"/>
        <w:right w:val="none" w:sz="0" w:space="0" w:color="auto"/>
      </w:divBdr>
    </w:div>
    <w:div w:id="1559979205">
      <w:bodyDiv w:val="1"/>
      <w:marLeft w:val="0"/>
      <w:marRight w:val="0"/>
      <w:marTop w:val="0"/>
      <w:marBottom w:val="0"/>
      <w:divBdr>
        <w:top w:val="none" w:sz="0" w:space="0" w:color="auto"/>
        <w:left w:val="none" w:sz="0" w:space="0" w:color="auto"/>
        <w:bottom w:val="none" w:sz="0" w:space="0" w:color="auto"/>
        <w:right w:val="none" w:sz="0" w:space="0" w:color="auto"/>
      </w:divBdr>
    </w:div>
    <w:div w:id="1560362458">
      <w:bodyDiv w:val="1"/>
      <w:marLeft w:val="0"/>
      <w:marRight w:val="0"/>
      <w:marTop w:val="0"/>
      <w:marBottom w:val="0"/>
      <w:divBdr>
        <w:top w:val="none" w:sz="0" w:space="0" w:color="auto"/>
        <w:left w:val="none" w:sz="0" w:space="0" w:color="auto"/>
        <w:bottom w:val="none" w:sz="0" w:space="0" w:color="auto"/>
        <w:right w:val="none" w:sz="0" w:space="0" w:color="auto"/>
      </w:divBdr>
    </w:div>
    <w:div w:id="1561213355">
      <w:bodyDiv w:val="1"/>
      <w:marLeft w:val="0"/>
      <w:marRight w:val="0"/>
      <w:marTop w:val="0"/>
      <w:marBottom w:val="0"/>
      <w:divBdr>
        <w:top w:val="none" w:sz="0" w:space="0" w:color="auto"/>
        <w:left w:val="none" w:sz="0" w:space="0" w:color="auto"/>
        <w:bottom w:val="none" w:sz="0" w:space="0" w:color="auto"/>
        <w:right w:val="none" w:sz="0" w:space="0" w:color="auto"/>
      </w:divBdr>
    </w:div>
    <w:div w:id="1562668245">
      <w:bodyDiv w:val="1"/>
      <w:marLeft w:val="0"/>
      <w:marRight w:val="0"/>
      <w:marTop w:val="0"/>
      <w:marBottom w:val="0"/>
      <w:divBdr>
        <w:top w:val="none" w:sz="0" w:space="0" w:color="auto"/>
        <w:left w:val="none" w:sz="0" w:space="0" w:color="auto"/>
        <w:bottom w:val="none" w:sz="0" w:space="0" w:color="auto"/>
        <w:right w:val="none" w:sz="0" w:space="0" w:color="auto"/>
      </w:divBdr>
    </w:div>
    <w:div w:id="1563053002">
      <w:bodyDiv w:val="1"/>
      <w:marLeft w:val="0"/>
      <w:marRight w:val="0"/>
      <w:marTop w:val="0"/>
      <w:marBottom w:val="0"/>
      <w:divBdr>
        <w:top w:val="none" w:sz="0" w:space="0" w:color="auto"/>
        <w:left w:val="none" w:sz="0" w:space="0" w:color="auto"/>
        <w:bottom w:val="none" w:sz="0" w:space="0" w:color="auto"/>
        <w:right w:val="none" w:sz="0" w:space="0" w:color="auto"/>
      </w:divBdr>
    </w:div>
    <w:div w:id="1570192880">
      <w:bodyDiv w:val="1"/>
      <w:marLeft w:val="0"/>
      <w:marRight w:val="0"/>
      <w:marTop w:val="0"/>
      <w:marBottom w:val="0"/>
      <w:divBdr>
        <w:top w:val="none" w:sz="0" w:space="0" w:color="auto"/>
        <w:left w:val="none" w:sz="0" w:space="0" w:color="auto"/>
        <w:bottom w:val="none" w:sz="0" w:space="0" w:color="auto"/>
        <w:right w:val="none" w:sz="0" w:space="0" w:color="auto"/>
      </w:divBdr>
      <w:divsChild>
        <w:div w:id="1418750425">
          <w:marLeft w:val="0"/>
          <w:marRight w:val="0"/>
          <w:marTop w:val="0"/>
          <w:marBottom w:val="0"/>
          <w:divBdr>
            <w:top w:val="none" w:sz="0" w:space="0" w:color="auto"/>
            <w:left w:val="none" w:sz="0" w:space="0" w:color="auto"/>
            <w:bottom w:val="none" w:sz="0" w:space="0" w:color="auto"/>
            <w:right w:val="none" w:sz="0" w:space="0" w:color="auto"/>
          </w:divBdr>
        </w:div>
        <w:div w:id="1516921554">
          <w:marLeft w:val="0"/>
          <w:marRight w:val="0"/>
          <w:marTop w:val="0"/>
          <w:marBottom w:val="0"/>
          <w:divBdr>
            <w:top w:val="none" w:sz="0" w:space="0" w:color="auto"/>
            <w:left w:val="none" w:sz="0" w:space="0" w:color="auto"/>
            <w:bottom w:val="none" w:sz="0" w:space="0" w:color="auto"/>
            <w:right w:val="none" w:sz="0" w:space="0" w:color="auto"/>
          </w:divBdr>
        </w:div>
        <w:div w:id="1159882779">
          <w:marLeft w:val="0"/>
          <w:marRight w:val="0"/>
          <w:marTop w:val="0"/>
          <w:marBottom w:val="0"/>
          <w:divBdr>
            <w:top w:val="none" w:sz="0" w:space="0" w:color="auto"/>
            <w:left w:val="none" w:sz="0" w:space="0" w:color="auto"/>
            <w:bottom w:val="none" w:sz="0" w:space="0" w:color="auto"/>
            <w:right w:val="none" w:sz="0" w:space="0" w:color="auto"/>
          </w:divBdr>
        </w:div>
        <w:div w:id="175190489">
          <w:marLeft w:val="0"/>
          <w:marRight w:val="0"/>
          <w:marTop w:val="0"/>
          <w:marBottom w:val="0"/>
          <w:divBdr>
            <w:top w:val="none" w:sz="0" w:space="0" w:color="auto"/>
            <w:left w:val="none" w:sz="0" w:space="0" w:color="auto"/>
            <w:bottom w:val="none" w:sz="0" w:space="0" w:color="auto"/>
            <w:right w:val="none" w:sz="0" w:space="0" w:color="auto"/>
          </w:divBdr>
        </w:div>
      </w:divsChild>
    </w:div>
    <w:div w:id="1574974611">
      <w:bodyDiv w:val="1"/>
      <w:marLeft w:val="0"/>
      <w:marRight w:val="0"/>
      <w:marTop w:val="0"/>
      <w:marBottom w:val="0"/>
      <w:divBdr>
        <w:top w:val="none" w:sz="0" w:space="0" w:color="auto"/>
        <w:left w:val="none" w:sz="0" w:space="0" w:color="auto"/>
        <w:bottom w:val="none" w:sz="0" w:space="0" w:color="auto"/>
        <w:right w:val="none" w:sz="0" w:space="0" w:color="auto"/>
      </w:divBdr>
    </w:div>
    <w:div w:id="1579367367">
      <w:bodyDiv w:val="1"/>
      <w:marLeft w:val="0"/>
      <w:marRight w:val="0"/>
      <w:marTop w:val="0"/>
      <w:marBottom w:val="0"/>
      <w:divBdr>
        <w:top w:val="none" w:sz="0" w:space="0" w:color="auto"/>
        <w:left w:val="none" w:sz="0" w:space="0" w:color="auto"/>
        <w:bottom w:val="none" w:sz="0" w:space="0" w:color="auto"/>
        <w:right w:val="none" w:sz="0" w:space="0" w:color="auto"/>
      </w:divBdr>
    </w:div>
    <w:div w:id="1580216797">
      <w:bodyDiv w:val="1"/>
      <w:marLeft w:val="0"/>
      <w:marRight w:val="0"/>
      <w:marTop w:val="0"/>
      <w:marBottom w:val="0"/>
      <w:divBdr>
        <w:top w:val="none" w:sz="0" w:space="0" w:color="auto"/>
        <w:left w:val="none" w:sz="0" w:space="0" w:color="auto"/>
        <w:bottom w:val="none" w:sz="0" w:space="0" w:color="auto"/>
        <w:right w:val="none" w:sz="0" w:space="0" w:color="auto"/>
      </w:divBdr>
    </w:div>
    <w:div w:id="1588885373">
      <w:bodyDiv w:val="1"/>
      <w:marLeft w:val="0"/>
      <w:marRight w:val="0"/>
      <w:marTop w:val="0"/>
      <w:marBottom w:val="0"/>
      <w:divBdr>
        <w:top w:val="none" w:sz="0" w:space="0" w:color="auto"/>
        <w:left w:val="none" w:sz="0" w:space="0" w:color="auto"/>
        <w:bottom w:val="none" w:sz="0" w:space="0" w:color="auto"/>
        <w:right w:val="none" w:sz="0" w:space="0" w:color="auto"/>
      </w:divBdr>
    </w:div>
    <w:div w:id="1589803291">
      <w:bodyDiv w:val="1"/>
      <w:marLeft w:val="0"/>
      <w:marRight w:val="0"/>
      <w:marTop w:val="0"/>
      <w:marBottom w:val="0"/>
      <w:divBdr>
        <w:top w:val="none" w:sz="0" w:space="0" w:color="auto"/>
        <w:left w:val="none" w:sz="0" w:space="0" w:color="auto"/>
        <w:bottom w:val="none" w:sz="0" w:space="0" w:color="auto"/>
        <w:right w:val="none" w:sz="0" w:space="0" w:color="auto"/>
      </w:divBdr>
    </w:div>
    <w:div w:id="1593467049">
      <w:bodyDiv w:val="1"/>
      <w:marLeft w:val="0"/>
      <w:marRight w:val="0"/>
      <w:marTop w:val="0"/>
      <w:marBottom w:val="0"/>
      <w:divBdr>
        <w:top w:val="none" w:sz="0" w:space="0" w:color="auto"/>
        <w:left w:val="none" w:sz="0" w:space="0" w:color="auto"/>
        <w:bottom w:val="none" w:sz="0" w:space="0" w:color="auto"/>
        <w:right w:val="none" w:sz="0" w:space="0" w:color="auto"/>
      </w:divBdr>
    </w:div>
    <w:div w:id="1595280462">
      <w:bodyDiv w:val="1"/>
      <w:marLeft w:val="0"/>
      <w:marRight w:val="0"/>
      <w:marTop w:val="0"/>
      <w:marBottom w:val="0"/>
      <w:divBdr>
        <w:top w:val="none" w:sz="0" w:space="0" w:color="auto"/>
        <w:left w:val="none" w:sz="0" w:space="0" w:color="auto"/>
        <w:bottom w:val="none" w:sz="0" w:space="0" w:color="auto"/>
        <w:right w:val="none" w:sz="0" w:space="0" w:color="auto"/>
      </w:divBdr>
    </w:div>
    <w:div w:id="1597056786">
      <w:bodyDiv w:val="1"/>
      <w:marLeft w:val="0"/>
      <w:marRight w:val="0"/>
      <w:marTop w:val="0"/>
      <w:marBottom w:val="0"/>
      <w:divBdr>
        <w:top w:val="none" w:sz="0" w:space="0" w:color="auto"/>
        <w:left w:val="none" w:sz="0" w:space="0" w:color="auto"/>
        <w:bottom w:val="none" w:sz="0" w:space="0" w:color="auto"/>
        <w:right w:val="none" w:sz="0" w:space="0" w:color="auto"/>
      </w:divBdr>
    </w:div>
    <w:div w:id="1597981588">
      <w:bodyDiv w:val="1"/>
      <w:marLeft w:val="0"/>
      <w:marRight w:val="0"/>
      <w:marTop w:val="0"/>
      <w:marBottom w:val="0"/>
      <w:divBdr>
        <w:top w:val="none" w:sz="0" w:space="0" w:color="auto"/>
        <w:left w:val="none" w:sz="0" w:space="0" w:color="auto"/>
        <w:bottom w:val="none" w:sz="0" w:space="0" w:color="auto"/>
        <w:right w:val="none" w:sz="0" w:space="0" w:color="auto"/>
      </w:divBdr>
    </w:div>
    <w:div w:id="1601136643">
      <w:bodyDiv w:val="1"/>
      <w:marLeft w:val="0"/>
      <w:marRight w:val="0"/>
      <w:marTop w:val="0"/>
      <w:marBottom w:val="0"/>
      <w:divBdr>
        <w:top w:val="none" w:sz="0" w:space="0" w:color="auto"/>
        <w:left w:val="none" w:sz="0" w:space="0" w:color="auto"/>
        <w:bottom w:val="none" w:sz="0" w:space="0" w:color="auto"/>
        <w:right w:val="none" w:sz="0" w:space="0" w:color="auto"/>
      </w:divBdr>
    </w:div>
    <w:div w:id="1612735678">
      <w:bodyDiv w:val="1"/>
      <w:marLeft w:val="0"/>
      <w:marRight w:val="0"/>
      <w:marTop w:val="0"/>
      <w:marBottom w:val="0"/>
      <w:divBdr>
        <w:top w:val="none" w:sz="0" w:space="0" w:color="auto"/>
        <w:left w:val="none" w:sz="0" w:space="0" w:color="auto"/>
        <w:bottom w:val="none" w:sz="0" w:space="0" w:color="auto"/>
        <w:right w:val="none" w:sz="0" w:space="0" w:color="auto"/>
      </w:divBdr>
    </w:div>
    <w:div w:id="1614286783">
      <w:bodyDiv w:val="1"/>
      <w:marLeft w:val="0"/>
      <w:marRight w:val="0"/>
      <w:marTop w:val="0"/>
      <w:marBottom w:val="0"/>
      <w:divBdr>
        <w:top w:val="none" w:sz="0" w:space="0" w:color="auto"/>
        <w:left w:val="none" w:sz="0" w:space="0" w:color="auto"/>
        <w:bottom w:val="none" w:sz="0" w:space="0" w:color="auto"/>
        <w:right w:val="none" w:sz="0" w:space="0" w:color="auto"/>
      </w:divBdr>
    </w:div>
    <w:div w:id="1617254799">
      <w:bodyDiv w:val="1"/>
      <w:marLeft w:val="0"/>
      <w:marRight w:val="0"/>
      <w:marTop w:val="0"/>
      <w:marBottom w:val="0"/>
      <w:divBdr>
        <w:top w:val="none" w:sz="0" w:space="0" w:color="auto"/>
        <w:left w:val="none" w:sz="0" w:space="0" w:color="auto"/>
        <w:bottom w:val="none" w:sz="0" w:space="0" w:color="auto"/>
        <w:right w:val="none" w:sz="0" w:space="0" w:color="auto"/>
      </w:divBdr>
    </w:div>
    <w:div w:id="1627858380">
      <w:bodyDiv w:val="1"/>
      <w:marLeft w:val="0"/>
      <w:marRight w:val="0"/>
      <w:marTop w:val="0"/>
      <w:marBottom w:val="0"/>
      <w:divBdr>
        <w:top w:val="none" w:sz="0" w:space="0" w:color="auto"/>
        <w:left w:val="none" w:sz="0" w:space="0" w:color="auto"/>
        <w:bottom w:val="none" w:sz="0" w:space="0" w:color="auto"/>
        <w:right w:val="none" w:sz="0" w:space="0" w:color="auto"/>
      </w:divBdr>
    </w:div>
    <w:div w:id="1629893355">
      <w:bodyDiv w:val="1"/>
      <w:marLeft w:val="0"/>
      <w:marRight w:val="0"/>
      <w:marTop w:val="0"/>
      <w:marBottom w:val="0"/>
      <w:divBdr>
        <w:top w:val="none" w:sz="0" w:space="0" w:color="auto"/>
        <w:left w:val="none" w:sz="0" w:space="0" w:color="auto"/>
        <w:bottom w:val="none" w:sz="0" w:space="0" w:color="auto"/>
        <w:right w:val="none" w:sz="0" w:space="0" w:color="auto"/>
      </w:divBdr>
    </w:div>
    <w:div w:id="1629965741">
      <w:bodyDiv w:val="1"/>
      <w:marLeft w:val="0"/>
      <w:marRight w:val="0"/>
      <w:marTop w:val="0"/>
      <w:marBottom w:val="0"/>
      <w:divBdr>
        <w:top w:val="none" w:sz="0" w:space="0" w:color="auto"/>
        <w:left w:val="none" w:sz="0" w:space="0" w:color="auto"/>
        <w:bottom w:val="none" w:sz="0" w:space="0" w:color="auto"/>
        <w:right w:val="none" w:sz="0" w:space="0" w:color="auto"/>
      </w:divBdr>
    </w:div>
    <w:div w:id="1630739248">
      <w:bodyDiv w:val="1"/>
      <w:marLeft w:val="0"/>
      <w:marRight w:val="0"/>
      <w:marTop w:val="0"/>
      <w:marBottom w:val="0"/>
      <w:divBdr>
        <w:top w:val="none" w:sz="0" w:space="0" w:color="auto"/>
        <w:left w:val="none" w:sz="0" w:space="0" w:color="auto"/>
        <w:bottom w:val="none" w:sz="0" w:space="0" w:color="auto"/>
        <w:right w:val="none" w:sz="0" w:space="0" w:color="auto"/>
      </w:divBdr>
    </w:div>
    <w:div w:id="1640839055">
      <w:bodyDiv w:val="1"/>
      <w:marLeft w:val="0"/>
      <w:marRight w:val="0"/>
      <w:marTop w:val="0"/>
      <w:marBottom w:val="0"/>
      <w:divBdr>
        <w:top w:val="none" w:sz="0" w:space="0" w:color="auto"/>
        <w:left w:val="none" w:sz="0" w:space="0" w:color="auto"/>
        <w:bottom w:val="none" w:sz="0" w:space="0" w:color="auto"/>
        <w:right w:val="none" w:sz="0" w:space="0" w:color="auto"/>
      </w:divBdr>
    </w:div>
    <w:div w:id="1642729148">
      <w:bodyDiv w:val="1"/>
      <w:marLeft w:val="0"/>
      <w:marRight w:val="0"/>
      <w:marTop w:val="0"/>
      <w:marBottom w:val="0"/>
      <w:divBdr>
        <w:top w:val="none" w:sz="0" w:space="0" w:color="auto"/>
        <w:left w:val="none" w:sz="0" w:space="0" w:color="auto"/>
        <w:bottom w:val="none" w:sz="0" w:space="0" w:color="auto"/>
        <w:right w:val="none" w:sz="0" w:space="0" w:color="auto"/>
      </w:divBdr>
    </w:div>
    <w:div w:id="1643851384">
      <w:bodyDiv w:val="1"/>
      <w:marLeft w:val="0"/>
      <w:marRight w:val="0"/>
      <w:marTop w:val="0"/>
      <w:marBottom w:val="0"/>
      <w:divBdr>
        <w:top w:val="none" w:sz="0" w:space="0" w:color="auto"/>
        <w:left w:val="none" w:sz="0" w:space="0" w:color="auto"/>
        <w:bottom w:val="none" w:sz="0" w:space="0" w:color="auto"/>
        <w:right w:val="none" w:sz="0" w:space="0" w:color="auto"/>
      </w:divBdr>
    </w:div>
    <w:div w:id="1645310051">
      <w:bodyDiv w:val="1"/>
      <w:marLeft w:val="0"/>
      <w:marRight w:val="0"/>
      <w:marTop w:val="0"/>
      <w:marBottom w:val="0"/>
      <w:divBdr>
        <w:top w:val="none" w:sz="0" w:space="0" w:color="auto"/>
        <w:left w:val="none" w:sz="0" w:space="0" w:color="auto"/>
        <w:bottom w:val="none" w:sz="0" w:space="0" w:color="auto"/>
        <w:right w:val="none" w:sz="0" w:space="0" w:color="auto"/>
      </w:divBdr>
    </w:div>
    <w:div w:id="1648124009">
      <w:bodyDiv w:val="1"/>
      <w:marLeft w:val="0"/>
      <w:marRight w:val="0"/>
      <w:marTop w:val="0"/>
      <w:marBottom w:val="0"/>
      <w:divBdr>
        <w:top w:val="none" w:sz="0" w:space="0" w:color="auto"/>
        <w:left w:val="none" w:sz="0" w:space="0" w:color="auto"/>
        <w:bottom w:val="none" w:sz="0" w:space="0" w:color="auto"/>
        <w:right w:val="none" w:sz="0" w:space="0" w:color="auto"/>
      </w:divBdr>
    </w:div>
    <w:div w:id="1649092599">
      <w:bodyDiv w:val="1"/>
      <w:marLeft w:val="0"/>
      <w:marRight w:val="0"/>
      <w:marTop w:val="0"/>
      <w:marBottom w:val="0"/>
      <w:divBdr>
        <w:top w:val="none" w:sz="0" w:space="0" w:color="auto"/>
        <w:left w:val="none" w:sz="0" w:space="0" w:color="auto"/>
        <w:bottom w:val="none" w:sz="0" w:space="0" w:color="auto"/>
        <w:right w:val="none" w:sz="0" w:space="0" w:color="auto"/>
      </w:divBdr>
    </w:div>
    <w:div w:id="1656254737">
      <w:bodyDiv w:val="1"/>
      <w:marLeft w:val="0"/>
      <w:marRight w:val="0"/>
      <w:marTop w:val="0"/>
      <w:marBottom w:val="0"/>
      <w:divBdr>
        <w:top w:val="none" w:sz="0" w:space="0" w:color="auto"/>
        <w:left w:val="none" w:sz="0" w:space="0" w:color="auto"/>
        <w:bottom w:val="none" w:sz="0" w:space="0" w:color="auto"/>
        <w:right w:val="none" w:sz="0" w:space="0" w:color="auto"/>
      </w:divBdr>
    </w:div>
    <w:div w:id="1659263838">
      <w:bodyDiv w:val="1"/>
      <w:marLeft w:val="0"/>
      <w:marRight w:val="0"/>
      <w:marTop w:val="0"/>
      <w:marBottom w:val="0"/>
      <w:divBdr>
        <w:top w:val="none" w:sz="0" w:space="0" w:color="auto"/>
        <w:left w:val="none" w:sz="0" w:space="0" w:color="auto"/>
        <w:bottom w:val="none" w:sz="0" w:space="0" w:color="auto"/>
        <w:right w:val="none" w:sz="0" w:space="0" w:color="auto"/>
      </w:divBdr>
    </w:div>
    <w:div w:id="1664118276">
      <w:bodyDiv w:val="1"/>
      <w:marLeft w:val="0"/>
      <w:marRight w:val="0"/>
      <w:marTop w:val="0"/>
      <w:marBottom w:val="0"/>
      <w:divBdr>
        <w:top w:val="none" w:sz="0" w:space="0" w:color="auto"/>
        <w:left w:val="none" w:sz="0" w:space="0" w:color="auto"/>
        <w:bottom w:val="none" w:sz="0" w:space="0" w:color="auto"/>
        <w:right w:val="none" w:sz="0" w:space="0" w:color="auto"/>
      </w:divBdr>
    </w:div>
    <w:div w:id="1667443475">
      <w:bodyDiv w:val="1"/>
      <w:marLeft w:val="0"/>
      <w:marRight w:val="0"/>
      <w:marTop w:val="0"/>
      <w:marBottom w:val="0"/>
      <w:divBdr>
        <w:top w:val="none" w:sz="0" w:space="0" w:color="auto"/>
        <w:left w:val="none" w:sz="0" w:space="0" w:color="auto"/>
        <w:bottom w:val="none" w:sz="0" w:space="0" w:color="auto"/>
        <w:right w:val="none" w:sz="0" w:space="0" w:color="auto"/>
      </w:divBdr>
    </w:div>
    <w:div w:id="1675646917">
      <w:bodyDiv w:val="1"/>
      <w:marLeft w:val="0"/>
      <w:marRight w:val="0"/>
      <w:marTop w:val="0"/>
      <w:marBottom w:val="0"/>
      <w:divBdr>
        <w:top w:val="none" w:sz="0" w:space="0" w:color="auto"/>
        <w:left w:val="none" w:sz="0" w:space="0" w:color="auto"/>
        <w:bottom w:val="none" w:sz="0" w:space="0" w:color="auto"/>
        <w:right w:val="none" w:sz="0" w:space="0" w:color="auto"/>
      </w:divBdr>
    </w:div>
    <w:div w:id="1676110717">
      <w:bodyDiv w:val="1"/>
      <w:marLeft w:val="0"/>
      <w:marRight w:val="0"/>
      <w:marTop w:val="0"/>
      <w:marBottom w:val="0"/>
      <w:divBdr>
        <w:top w:val="none" w:sz="0" w:space="0" w:color="auto"/>
        <w:left w:val="none" w:sz="0" w:space="0" w:color="auto"/>
        <w:bottom w:val="none" w:sz="0" w:space="0" w:color="auto"/>
        <w:right w:val="none" w:sz="0" w:space="0" w:color="auto"/>
      </w:divBdr>
    </w:div>
    <w:div w:id="1682274004">
      <w:bodyDiv w:val="1"/>
      <w:marLeft w:val="0"/>
      <w:marRight w:val="0"/>
      <w:marTop w:val="0"/>
      <w:marBottom w:val="0"/>
      <w:divBdr>
        <w:top w:val="none" w:sz="0" w:space="0" w:color="auto"/>
        <w:left w:val="none" w:sz="0" w:space="0" w:color="auto"/>
        <w:bottom w:val="none" w:sz="0" w:space="0" w:color="auto"/>
        <w:right w:val="none" w:sz="0" w:space="0" w:color="auto"/>
      </w:divBdr>
    </w:div>
    <w:div w:id="1683624524">
      <w:bodyDiv w:val="1"/>
      <w:marLeft w:val="0"/>
      <w:marRight w:val="0"/>
      <w:marTop w:val="0"/>
      <w:marBottom w:val="0"/>
      <w:divBdr>
        <w:top w:val="none" w:sz="0" w:space="0" w:color="auto"/>
        <w:left w:val="none" w:sz="0" w:space="0" w:color="auto"/>
        <w:bottom w:val="none" w:sz="0" w:space="0" w:color="auto"/>
        <w:right w:val="none" w:sz="0" w:space="0" w:color="auto"/>
      </w:divBdr>
    </w:div>
    <w:div w:id="1683706961">
      <w:bodyDiv w:val="1"/>
      <w:marLeft w:val="0"/>
      <w:marRight w:val="0"/>
      <w:marTop w:val="0"/>
      <w:marBottom w:val="0"/>
      <w:divBdr>
        <w:top w:val="none" w:sz="0" w:space="0" w:color="auto"/>
        <w:left w:val="none" w:sz="0" w:space="0" w:color="auto"/>
        <w:bottom w:val="none" w:sz="0" w:space="0" w:color="auto"/>
        <w:right w:val="none" w:sz="0" w:space="0" w:color="auto"/>
      </w:divBdr>
      <w:divsChild>
        <w:div w:id="1289579915">
          <w:marLeft w:val="0"/>
          <w:marRight w:val="0"/>
          <w:marTop w:val="0"/>
          <w:marBottom w:val="0"/>
          <w:divBdr>
            <w:top w:val="none" w:sz="0" w:space="0" w:color="auto"/>
            <w:left w:val="none" w:sz="0" w:space="0" w:color="auto"/>
            <w:bottom w:val="none" w:sz="0" w:space="0" w:color="auto"/>
            <w:right w:val="none" w:sz="0" w:space="0" w:color="auto"/>
          </w:divBdr>
        </w:div>
        <w:div w:id="602882082">
          <w:marLeft w:val="0"/>
          <w:marRight w:val="0"/>
          <w:marTop w:val="0"/>
          <w:marBottom w:val="0"/>
          <w:divBdr>
            <w:top w:val="none" w:sz="0" w:space="0" w:color="auto"/>
            <w:left w:val="none" w:sz="0" w:space="0" w:color="auto"/>
            <w:bottom w:val="none" w:sz="0" w:space="0" w:color="auto"/>
            <w:right w:val="none" w:sz="0" w:space="0" w:color="auto"/>
          </w:divBdr>
        </w:div>
        <w:div w:id="1835487398">
          <w:marLeft w:val="0"/>
          <w:marRight w:val="0"/>
          <w:marTop w:val="0"/>
          <w:marBottom w:val="0"/>
          <w:divBdr>
            <w:top w:val="none" w:sz="0" w:space="0" w:color="auto"/>
            <w:left w:val="none" w:sz="0" w:space="0" w:color="auto"/>
            <w:bottom w:val="none" w:sz="0" w:space="0" w:color="auto"/>
            <w:right w:val="none" w:sz="0" w:space="0" w:color="auto"/>
          </w:divBdr>
        </w:div>
        <w:div w:id="405422539">
          <w:marLeft w:val="0"/>
          <w:marRight w:val="0"/>
          <w:marTop w:val="0"/>
          <w:marBottom w:val="0"/>
          <w:divBdr>
            <w:top w:val="none" w:sz="0" w:space="0" w:color="auto"/>
            <w:left w:val="none" w:sz="0" w:space="0" w:color="auto"/>
            <w:bottom w:val="none" w:sz="0" w:space="0" w:color="auto"/>
            <w:right w:val="none" w:sz="0" w:space="0" w:color="auto"/>
          </w:divBdr>
        </w:div>
        <w:div w:id="425350075">
          <w:marLeft w:val="0"/>
          <w:marRight w:val="0"/>
          <w:marTop w:val="0"/>
          <w:marBottom w:val="0"/>
          <w:divBdr>
            <w:top w:val="none" w:sz="0" w:space="0" w:color="auto"/>
            <w:left w:val="none" w:sz="0" w:space="0" w:color="auto"/>
            <w:bottom w:val="none" w:sz="0" w:space="0" w:color="auto"/>
            <w:right w:val="none" w:sz="0" w:space="0" w:color="auto"/>
          </w:divBdr>
        </w:div>
        <w:div w:id="1317303027">
          <w:marLeft w:val="0"/>
          <w:marRight w:val="0"/>
          <w:marTop w:val="0"/>
          <w:marBottom w:val="0"/>
          <w:divBdr>
            <w:top w:val="none" w:sz="0" w:space="0" w:color="auto"/>
            <w:left w:val="none" w:sz="0" w:space="0" w:color="auto"/>
            <w:bottom w:val="none" w:sz="0" w:space="0" w:color="auto"/>
            <w:right w:val="none" w:sz="0" w:space="0" w:color="auto"/>
          </w:divBdr>
        </w:div>
        <w:div w:id="294070984">
          <w:marLeft w:val="0"/>
          <w:marRight w:val="0"/>
          <w:marTop w:val="0"/>
          <w:marBottom w:val="0"/>
          <w:divBdr>
            <w:top w:val="none" w:sz="0" w:space="0" w:color="auto"/>
            <w:left w:val="none" w:sz="0" w:space="0" w:color="auto"/>
            <w:bottom w:val="none" w:sz="0" w:space="0" w:color="auto"/>
            <w:right w:val="none" w:sz="0" w:space="0" w:color="auto"/>
          </w:divBdr>
        </w:div>
        <w:div w:id="1591426144">
          <w:marLeft w:val="0"/>
          <w:marRight w:val="0"/>
          <w:marTop w:val="0"/>
          <w:marBottom w:val="0"/>
          <w:divBdr>
            <w:top w:val="none" w:sz="0" w:space="0" w:color="auto"/>
            <w:left w:val="none" w:sz="0" w:space="0" w:color="auto"/>
            <w:bottom w:val="none" w:sz="0" w:space="0" w:color="auto"/>
            <w:right w:val="none" w:sz="0" w:space="0" w:color="auto"/>
          </w:divBdr>
        </w:div>
        <w:div w:id="1290280282">
          <w:marLeft w:val="0"/>
          <w:marRight w:val="0"/>
          <w:marTop w:val="0"/>
          <w:marBottom w:val="0"/>
          <w:divBdr>
            <w:top w:val="none" w:sz="0" w:space="0" w:color="auto"/>
            <w:left w:val="none" w:sz="0" w:space="0" w:color="auto"/>
            <w:bottom w:val="none" w:sz="0" w:space="0" w:color="auto"/>
            <w:right w:val="none" w:sz="0" w:space="0" w:color="auto"/>
          </w:divBdr>
        </w:div>
        <w:div w:id="242372553">
          <w:marLeft w:val="0"/>
          <w:marRight w:val="0"/>
          <w:marTop w:val="0"/>
          <w:marBottom w:val="0"/>
          <w:divBdr>
            <w:top w:val="none" w:sz="0" w:space="0" w:color="auto"/>
            <w:left w:val="none" w:sz="0" w:space="0" w:color="auto"/>
            <w:bottom w:val="none" w:sz="0" w:space="0" w:color="auto"/>
            <w:right w:val="none" w:sz="0" w:space="0" w:color="auto"/>
          </w:divBdr>
        </w:div>
        <w:div w:id="72747258">
          <w:marLeft w:val="0"/>
          <w:marRight w:val="0"/>
          <w:marTop w:val="0"/>
          <w:marBottom w:val="0"/>
          <w:divBdr>
            <w:top w:val="none" w:sz="0" w:space="0" w:color="auto"/>
            <w:left w:val="none" w:sz="0" w:space="0" w:color="auto"/>
            <w:bottom w:val="none" w:sz="0" w:space="0" w:color="auto"/>
            <w:right w:val="none" w:sz="0" w:space="0" w:color="auto"/>
          </w:divBdr>
        </w:div>
      </w:divsChild>
    </w:div>
    <w:div w:id="1686979553">
      <w:bodyDiv w:val="1"/>
      <w:marLeft w:val="0"/>
      <w:marRight w:val="0"/>
      <w:marTop w:val="0"/>
      <w:marBottom w:val="0"/>
      <w:divBdr>
        <w:top w:val="none" w:sz="0" w:space="0" w:color="auto"/>
        <w:left w:val="none" w:sz="0" w:space="0" w:color="auto"/>
        <w:bottom w:val="none" w:sz="0" w:space="0" w:color="auto"/>
        <w:right w:val="none" w:sz="0" w:space="0" w:color="auto"/>
      </w:divBdr>
    </w:div>
    <w:div w:id="1688557900">
      <w:bodyDiv w:val="1"/>
      <w:marLeft w:val="0"/>
      <w:marRight w:val="0"/>
      <w:marTop w:val="0"/>
      <w:marBottom w:val="0"/>
      <w:divBdr>
        <w:top w:val="none" w:sz="0" w:space="0" w:color="auto"/>
        <w:left w:val="none" w:sz="0" w:space="0" w:color="auto"/>
        <w:bottom w:val="none" w:sz="0" w:space="0" w:color="auto"/>
        <w:right w:val="none" w:sz="0" w:space="0" w:color="auto"/>
      </w:divBdr>
    </w:div>
    <w:div w:id="1690183054">
      <w:bodyDiv w:val="1"/>
      <w:marLeft w:val="0"/>
      <w:marRight w:val="0"/>
      <w:marTop w:val="0"/>
      <w:marBottom w:val="0"/>
      <w:divBdr>
        <w:top w:val="none" w:sz="0" w:space="0" w:color="auto"/>
        <w:left w:val="none" w:sz="0" w:space="0" w:color="auto"/>
        <w:bottom w:val="none" w:sz="0" w:space="0" w:color="auto"/>
        <w:right w:val="none" w:sz="0" w:space="0" w:color="auto"/>
      </w:divBdr>
    </w:div>
    <w:div w:id="1692299848">
      <w:bodyDiv w:val="1"/>
      <w:marLeft w:val="0"/>
      <w:marRight w:val="0"/>
      <w:marTop w:val="0"/>
      <w:marBottom w:val="0"/>
      <w:divBdr>
        <w:top w:val="none" w:sz="0" w:space="0" w:color="auto"/>
        <w:left w:val="none" w:sz="0" w:space="0" w:color="auto"/>
        <w:bottom w:val="none" w:sz="0" w:space="0" w:color="auto"/>
        <w:right w:val="none" w:sz="0" w:space="0" w:color="auto"/>
      </w:divBdr>
    </w:div>
    <w:div w:id="1692759525">
      <w:bodyDiv w:val="1"/>
      <w:marLeft w:val="0"/>
      <w:marRight w:val="0"/>
      <w:marTop w:val="0"/>
      <w:marBottom w:val="0"/>
      <w:divBdr>
        <w:top w:val="none" w:sz="0" w:space="0" w:color="auto"/>
        <w:left w:val="none" w:sz="0" w:space="0" w:color="auto"/>
        <w:bottom w:val="none" w:sz="0" w:space="0" w:color="auto"/>
        <w:right w:val="none" w:sz="0" w:space="0" w:color="auto"/>
      </w:divBdr>
    </w:div>
    <w:div w:id="1695811543">
      <w:bodyDiv w:val="1"/>
      <w:marLeft w:val="0"/>
      <w:marRight w:val="0"/>
      <w:marTop w:val="0"/>
      <w:marBottom w:val="0"/>
      <w:divBdr>
        <w:top w:val="none" w:sz="0" w:space="0" w:color="auto"/>
        <w:left w:val="none" w:sz="0" w:space="0" w:color="auto"/>
        <w:bottom w:val="none" w:sz="0" w:space="0" w:color="auto"/>
        <w:right w:val="none" w:sz="0" w:space="0" w:color="auto"/>
      </w:divBdr>
    </w:div>
    <w:div w:id="1703742698">
      <w:bodyDiv w:val="1"/>
      <w:marLeft w:val="0"/>
      <w:marRight w:val="0"/>
      <w:marTop w:val="0"/>
      <w:marBottom w:val="0"/>
      <w:divBdr>
        <w:top w:val="none" w:sz="0" w:space="0" w:color="auto"/>
        <w:left w:val="none" w:sz="0" w:space="0" w:color="auto"/>
        <w:bottom w:val="none" w:sz="0" w:space="0" w:color="auto"/>
        <w:right w:val="none" w:sz="0" w:space="0" w:color="auto"/>
      </w:divBdr>
    </w:div>
    <w:div w:id="1712269582">
      <w:bodyDiv w:val="1"/>
      <w:marLeft w:val="0"/>
      <w:marRight w:val="0"/>
      <w:marTop w:val="0"/>
      <w:marBottom w:val="0"/>
      <w:divBdr>
        <w:top w:val="none" w:sz="0" w:space="0" w:color="auto"/>
        <w:left w:val="none" w:sz="0" w:space="0" w:color="auto"/>
        <w:bottom w:val="none" w:sz="0" w:space="0" w:color="auto"/>
        <w:right w:val="none" w:sz="0" w:space="0" w:color="auto"/>
      </w:divBdr>
    </w:div>
    <w:div w:id="1712921204">
      <w:bodyDiv w:val="1"/>
      <w:marLeft w:val="0"/>
      <w:marRight w:val="0"/>
      <w:marTop w:val="0"/>
      <w:marBottom w:val="0"/>
      <w:divBdr>
        <w:top w:val="none" w:sz="0" w:space="0" w:color="auto"/>
        <w:left w:val="none" w:sz="0" w:space="0" w:color="auto"/>
        <w:bottom w:val="none" w:sz="0" w:space="0" w:color="auto"/>
        <w:right w:val="none" w:sz="0" w:space="0" w:color="auto"/>
      </w:divBdr>
    </w:div>
    <w:div w:id="1717898531">
      <w:bodyDiv w:val="1"/>
      <w:marLeft w:val="0"/>
      <w:marRight w:val="0"/>
      <w:marTop w:val="0"/>
      <w:marBottom w:val="0"/>
      <w:divBdr>
        <w:top w:val="none" w:sz="0" w:space="0" w:color="auto"/>
        <w:left w:val="none" w:sz="0" w:space="0" w:color="auto"/>
        <w:bottom w:val="none" w:sz="0" w:space="0" w:color="auto"/>
        <w:right w:val="none" w:sz="0" w:space="0" w:color="auto"/>
      </w:divBdr>
    </w:div>
    <w:div w:id="1718316672">
      <w:bodyDiv w:val="1"/>
      <w:marLeft w:val="0"/>
      <w:marRight w:val="0"/>
      <w:marTop w:val="0"/>
      <w:marBottom w:val="0"/>
      <w:divBdr>
        <w:top w:val="none" w:sz="0" w:space="0" w:color="auto"/>
        <w:left w:val="none" w:sz="0" w:space="0" w:color="auto"/>
        <w:bottom w:val="none" w:sz="0" w:space="0" w:color="auto"/>
        <w:right w:val="none" w:sz="0" w:space="0" w:color="auto"/>
      </w:divBdr>
    </w:div>
    <w:div w:id="1727337837">
      <w:bodyDiv w:val="1"/>
      <w:marLeft w:val="0"/>
      <w:marRight w:val="0"/>
      <w:marTop w:val="0"/>
      <w:marBottom w:val="0"/>
      <w:divBdr>
        <w:top w:val="none" w:sz="0" w:space="0" w:color="auto"/>
        <w:left w:val="none" w:sz="0" w:space="0" w:color="auto"/>
        <w:bottom w:val="none" w:sz="0" w:space="0" w:color="auto"/>
        <w:right w:val="none" w:sz="0" w:space="0" w:color="auto"/>
      </w:divBdr>
    </w:div>
    <w:div w:id="1729567886">
      <w:bodyDiv w:val="1"/>
      <w:marLeft w:val="0"/>
      <w:marRight w:val="0"/>
      <w:marTop w:val="0"/>
      <w:marBottom w:val="0"/>
      <w:divBdr>
        <w:top w:val="none" w:sz="0" w:space="0" w:color="auto"/>
        <w:left w:val="none" w:sz="0" w:space="0" w:color="auto"/>
        <w:bottom w:val="none" w:sz="0" w:space="0" w:color="auto"/>
        <w:right w:val="none" w:sz="0" w:space="0" w:color="auto"/>
      </w:divBdr>
      <w:divsChild>
        <w:div w:id="366370562">
          <w:marLeft w:val="0"/>
          <w:marRight w:val="0"/>
          <w:marTop w:val="0"/>
          <w:marBottom w:val="0"/>
          <w:divBdr>
            <w:top w:val="none" w:sz="0" w:space="0" w:color="auto"/>
            <w:left w:val="none" w:sz="0" w:space="0" w:color="auto"/>
            <w:bottom w:val="none" w:sz="0" w:space="0" w:color="auto"/>
            <w:right w:val="none" w:sz="0" w:space="0" w:color="auto"/>
          </w:divBdr>
        </w:div>
      </w:divsChild>
    </w:div>
    <w:div w:id="1729769021">
      <w:bodyDiv w:val="1"/>
      <w:marLeft w:val="0"/>
      <w:marRight w:val="0"/>
      <w:marTop w:val="0"/>
      <w:marBottom w:val="0"/>
      <w:divBdr>
        <w:top w:val="none" w:sz="0" w:space="0" w:color="auto"/>
        <w:left w:val="none" w:sz="0" w:space="0" w:color="auto"/>
        <w:bottom w:val="none" w:sz="0" w:space="0" w:color="auto"/>
        <w:right w:val="none" w:sz="0" w:space="0" w:color="auto"/>
      </w:divBdr>
    </w:div>
    <w:div w:id="1735619254">
      <w:bodyDiv w:val="1"/>
      <w:marLeft w:val="0"/>
      <w:marRight w:val="0"/>
      <w:marTop w:val="0"/>
      <w:marBottom w:val="0"/>
      <w:divBdr>
        <w:top w:val="none" w:sz="0" w:space="0" w:color="auto"/>
        <w:left w:val="none" w:sz="0" w:space="0" w:color="auto"/>
        <w:bottom w:val="none" w:sz="0" w:space="0" w:color="auto"/>
        <w:right w:val="none" w:sz="0" w:space="0" w:color="auto"/>
      </w:divBdr>
    </w:div>
    <w:div w:id="1739985167">
      <w:bodyDiv w:val="1"/>
      <w:marLeft w:val="0"/>
      <w:marRight w:val="0"/>
      <w:marTop w:val="0"/>
      <w:marBottom w:val="0"/>
      <w:divBdr>
        <w:top w:val="none" w:sz="0" w:space="0" w:color="auto"/>
        <w:left w:val="none" w:sz="0" w:space="0" w:color="auto"/>
        <w:bottom w:val="none" w:sz="0" w:space="0" w:color="auto"/>
        <w:right w:val="none" w:sz="0" w:space="0" w:color="auto"/>
      </w:divBdr>
    </w:div>
    <w:div w:id="1741950611">
      <w:bodyDiv w:val="1"/>
      <w:marLeft w:val="0"/>
      <w:marRight w:val="0"/>
      <w:marTop w:val="0"/>
      <w:marBottom w:val="0"/>
      <w:divBdr>
        <w:top w:val="none" w:sz="0" w:space="0" w:color="auto"/>
        <w:left w:val="none" w:sz="0" w:space="0" w:color="auto"/>
        <w:bottom w:val="none" w:sz="0" w:space="0" w:color="auto"/>
        <w:right w:val="none" w:sz="0" w:space="0" w:color="auto"/>
      </w:divBdr>
    </w:div>
    <w:div w:id="1743870907">
      <w:bodyDiv w:val="1"/>
      <w:marLeft w:val="0"/>
      <w:marRight w:val="0"/>
      <w:marTop w:val="0"/>
      <w:marBottom w:val="0"/>
      <w:divBdr>
        <w:top w:val="none" w:sz="0" w:space="0" w:color="auto"/>
        <w:left w:val="none" w:sz="0" w:space="0" w:color="auto"/>
        <w:bottom w:val="none" w:sz="0" w:space="0" w:color="auto"/>
        <w:right w:val="none" w:sz="0" w:space="0" w:color="auto"/>
      </w:divBdr>
    </w:div>
    <w:div w:id="1744789389">
      <w:bodyDiv w:val="1"/>
      <w:marLeft w:val="0"/>
      <w:marRight w:val="0"/>
      <w:marTop w:val="0"/>
      <w:marBottom w:val="0"/>
      <w:divBdr>
        <w:top w:val="none" w:sz="0" w:space="0" w:color="auto"/>
        <w:left w:val="none" w:sz="0" w:space="0" w:color="auto"/>
        <w:bottom w:val="none" w:sz="0" w:space="0" w:color="auto"/>
        <w:right w:val="none" w:sz="0" w:space="0" w:color="auto"/>
      </w:divBdr>
    </w:div>
    <w:div w:id="1744913398">
      <w:bodyDiv w:val="1"/>
      <w:marLeft w:val="0"/>
      <w:marRight w:val="0"/>
      <w:marTop w:val="0"/>
      <w:marBottom w:val="0"/>
      <w:divBdr>
        <w:top w:val="none" w:sz="0" w:space="0" w:color="auto"/>
        <w:left w:val="none" w:sz="0" w:space="0" w:color="auto"/>
        <w:bottom w:val="none" w:sz="0" w:space="0" w:color="auto"/>
        <w:right w:val="none" w:sz="0" w:space="0" w:color="auto"/>
      </w:divBdr>
    </w:div>
    <w:div w:id="1747996764">
      <w:bodyDiv w:val="1"/>
      <w:marLeft w:val="0"/>
      <w:marRight w:val="0"/>
      <w:marTop w:val="0"/>
      <w:marBottom w:val="0"/>
      <w:divBdr>
        <w:top w:val="none" w:sz="0" w:space="0" w:color="auto"/>
        <w:left w:val="none" w:sz="0" w:space="0" w:color="auto"/>
        <w:bottom w:val="none" w:sz="0" w:space="0" w:color="auto"/>
        <w:right w:val="none" w:sz="0" w:space="0" w:color="auto"/>
      </w:divBdr>
    </w:div>
    <w:div w:id="1750344870">
      <w:bodyDiv w:val="1"/>
      <w:marLeft w:val="0"/>
      <w:marRight w:val="0"/>
      <w:marTop w:val="0"/>
      <w:marBottom w:val="0"/>
      <w:divBdr>
        <w:top w:val="none" w:sz="0" w:space="0" w:color="auto"/>
        <w:left w:val="none" w:sz="0" w:space="0" w:color="auto"/>
        <w:bottom w:val="none" w:sz="0" w:space="0" w:color="auto"/>
        <w:right w:val="none" w:sz="0" w:space="0" w:color="auto"/>
      </w:divBdr>
    </w:div>
    <w:div w:id="1754624720">
      <w:bodyDiv w:val="1"/>
      <w:marLeft w:val="0"/>
      <w:marRight w:val="0"/>
      <w:marTop w:val="0"/>
      <w:marBottom w:val="0"/>
      <w:divBdr>
        <w:top w:val="none" w:sz="0" w:space="0" w:color="auto"/>
        <w:left w:val="none" w:sz="0" w:space="0" w:color="auto"/>
        <w:bottom w:val="none" w:sz="0" w:space="0" w:color="auto"/>
        <w:right w:val="none" w:sz="0" w:space="0" w:color="auto"/>
      </w:divBdr>
    </w:div>
    <w:div w:id="1766995016">
      <w:bodyDiv w:val="1"/>
      <w:marLeft w:val="0"/>
      <w:marRight w:val="0"/>
      <w:marTop w:val="0"/>
      <w:marBottom w:val="0"/>
      <w:divBdr>
        <w:top w:val="none" w:sz="0" w:space="0" w:color="auto"/>
        <w:left w:val="none" w:sz="0" w:space="0" w:color="auto"/>
        <w:bottom w:val="none" w:sz="0" w:space="0" w:color="auto"/>
        <w:right w:val="none" w:sz="0" w:space="0" w:color="auto"/>
      </w:divBdr>
    </w:div>
    <w:div w:id="1774396582">
      <w:bodyDiv w:val="1"/>
      <w:marLeft w:val="0"/>
      <w:marRight w:val="0"/>
      <w:marTop w:val="0"/>
      <w:marBottom w:val="0"/>
      <w:divBdr>
        <w:top w:val="none" w:sz="0" w:space="0" w:color="auto"/>
        <w:left w:val="none" w:sz="0" w:space="0" w:color="auto"/>
        <w:bottom w:val="none" w:sz="0" w:space="0" w:color="auto"/>
        <w:right w:val="none" w:sz="0" w:space="0" w:color="auto"/>
      </w:divBdr>
    </w:div>
    <w:div w:id="1775442486">
      <w:bodyDiv w:val="1"/>
      <w:marLeft w:val="0"/>
      <w:marRight w:val="0"/>
      <w:marTop w:val="0"/>
      <w:marBottom w:val="0"/>
      <w:divBdr>
        <w:top w:val="none" w:sz="0" w:space="0" w:color="auto"/>
        <w:left w:val="none" w:sz="0" w:space="0" w:color="auto"/>
        <w:bottom w:val="none" w:sz="0" w:space="0" w:color="auto"/>
        <w:right w:val="none" w:sz="0" w:space="0" w:color="auto"/>
      </w:divBdr>
    </w:div>
    <w:div w:id="1781412360">
      <w:bodyDiv w:val="1"/>
      <w:marLeft w:val="0"/>
      <w:marRight w:val="0"/>
      <w:marTop w:val="0"/>
      <w:marBottom w:val="0"/>
      <w:divBdr>
        <w:top w:val="none" w:sz="0" w:space="0" w:color="auto"/>
        <w:left w:val="none" w:sz="0" w:space="0" w:color="auto"/>
        <w:bottom w:val="none" w:sz="0" w:space="0" w:color="auto"/>
        <w:right w:val="none" w:sz="0" w:space="0" w:color="auto"/>
      </w:divBdr>
    </w:div>
    <w:div w:id="1785155151">
      <w:bodyDiv w:val="1"/>
      <w:marLeft w:val="0"/>
      <w:marRight w:val="0"/>
      <w:marTop w:val="0"/>
      <w:marBottom w:val="0"/>
      <w:divBdr>
        <w:top w:val="none" w:sz="0" w:space="0" w:color="auto"/>
        <w:left w:val="none" w:sz="0" w:space="0" w:color="auto"/>
        <w:bottom w:val="none" w:sz="0" w:space="0" w:color="auto"/>
        <w:right w:val="none" w:sz="0" w:space="0" w:color="auto"/>
      </w:divBdr>
    </w:div>
    <w:div w:id="1786734254">
      <w:bodyDiv w:val="1"/>
      <w:marLeft w:val="0"/>
      <w:marRight w:val="0"/>
      <w:marTop w:val="0"/>
      <w:marBottom w:val="0"/>
      <w:divBdr>
        <w:top w:val="none" w:sz="0" w:space="0" w:color="auto"/>
        <w:left w:val="none" w:sz="0" w:space="0" w:color="auto"/>
        <w:bottom w:val="none" w:sz="0" w:space="0" w:color="auto"/>
        <w:right w:val="none" w:sz="0" w:space="0" w:color="auto"/>
      </w:divBdr>
    </w:div>
    <w:div w:id="1790123191">
      <w:bodyDiv w:val="1"/>
      <w:marLeft w:val="0"/>
      <w:marRight w:val="0"/>
      <w:marTop w:val="0"/>
      <w:marBottom w:val="0"/>
      <w:divBdr>
        <w:top w:val="none" w:sz="0" w:space="0" w:color="auto"/>
        <w:left w:val="none" w:sz="0" w:space="0" w:color="auto"/>
        <w:bottom w:val="none" w:sz="0" w:space="0" w:color="auto"/>
        <w:right w:val="none" w:sz="0" w:space="0" w:color="auto"/>
      </w:divBdr>
    </w:div>
    <w:div w:id="1791513131">
      <w:bodyDiv w:val="1"/>
      <w:marLeft w:val="0"/>
      <w:marRight w:val="0"/>
      <w:marTop w:val="0"/>
      <w:marBottom w:val="0"/>
      <w:divBdr>
        <w:top w:val="none" w:sz="0" w:space="0" w:color="auto"/>
        <w:left w:val="none" w:sz="0" w:space="0" w:color="auto"/>
        <w:bottom w:val="none" w:sz="0" w:space="0" w:color="auto"/>
        <w:right w:val="none" w:sz="0" w:space="0" w:color="auto"/>
      </w:divBdr>
    </w:div>
    <w:div w:id="1797065029">
      <w:bodyDiv w:val="1"/>
      <w:marLeft w:val="0"/>
      <w:marRight w:val="0"/>
      <w:marTop w:val="0"/>
      <w:marBottom w:val="0"/>
      <w:divBdr>
        <w:top w:val="none" w:sz="0" w:space="0" w:color="auto"/>
        <w:left w:val="none" w:sz="0" w:space="0" w:color="auto"/>
        <w:bottom w:val="none" w:sz="0" w:space="0" w:color="auto"/>
        <w:right w:val="none" w:sz="0" w:space="0" w:color="auto"/>
      </w:divBdr>
    </w:div>
    <w:div w:id="1801730351">
      <w:bodyDiv w:val="1"/>
      <w:marLeft w:val="0"/>
      <w:marRight w:val="0"/>
      <w:marTop w:val="0"/>
      <w:marBottom w:val="0"/>
      <w:divBdr>
        <w:top w:val="none" w:sz="0" w:space="0" w:color="auto"/>
        <w:left w:val="none" w:sz="0" w:space="0" w:color="auto"/>
        <w:bottom w:val="none" w:sz="0" w:space="0" w:color="auto"/>
        <w:right w:val="none" w:sz="0" w:space="0" w:color="auto"/>
      </w:divBdr>
    </w:div>
    <w:div w:id="1807894764">
      <w:bodyDiv w:val="1"/>
      <w:marLeft w:val="0"/>
      <w:marRight w:val="0"/>
      <w:marTop w:val="0"/>
      <w:marBottom w:val="0"/>
      <w:divBdr>
        <w:top w:val="none" w:sz="0" w:space="0" w:color="auto"/>
        <w:left w:val="none" w:sz="0" w:space="0" w:color="auto"/>
        <w:bottom w:val="none" w:sz="0" w:space="0" w:color="auto"/>
        <w:right w:val="none" w:sz="0" w:space="0" w:color="auto"/>
      </w:divBdr>
    </w:div>
    <w:div w:id="1809974603">
      <w:bodyDiv w:val="1"/>
      <w:marLeft w:val="0"/>
      <w:marRight w:val="0"/>
      <w:marTop w:val="0"/>
      <w:marBottom w:val="0"/>
      <w:divBdr>
        <w:top w:val="none" w:sz="0" w:space="0" w:color="auto"/>
        <w:left w:val="none" w:sz="0" w:space="0" w:color="auto"/>
        <w:bottom w:val="none" w:sz="0" w:space="0" w:color="auto"/>
        <w:right w:val="none" w:sz="0" w:space="0" w:color="auto"/>
      </w:divBdr>
    </w:div>
    <w:div w:id="1810590292">
      <w:bodyDiv w:val="1"/>
      <w:marLeft w:val="0"/>
      <w:marRight w:val="0"/>
      <w:marTop w:val="0"/>
      <w:marBottom w:val="0"/>
      <w:divBdr>
        <w:top w:val="none" w:sz="0" w:space="0" w:color="auto"/>
        <w:left w:val="none" w:sz="0" w:space="0" w:color="auto"/>
        <w:bottom w:val="none" w:sz="0" w:space="0" w:color="auto"/>
        <w:right w:val="none" w:sz="0" w:space="0" w:color="auto"/>
      </w:divBdr>
    </w:div>
    <w:div w:id="1811363319">
      <w:bodyDiv w:val="1"/>
      <w:marLeft w:val="0"/>
      <w:marRight w:val="0"/>
      <w:marTop w:val="0"/>
      <w:marBottom w:val="0"/>
      <w:divBdr>
        <w:top w:val="none" w:sz="0" w:space="0" w:color="auto"/>
        <w:left w:val="none" w:sz="0" w:space="0" w:color="auto"/>
        <w:bottom w:val="none" w:sz="0" w:space="0" w:color="auto"/>
        <w:right w:val="none" w:sz="0" w:space="0" w:color="auto"/>
      </w:divBdr>
    </w:div>
    <w:div w:id="1829832315">
      <w:bodyDiv w:val="1"/>
      <w:marLeft w:val="0"/>
      <w:marRight w:val="0"/>
      <w:marTop w:val="0"/>
      <w:marBottom w:val="0"/>
      <w:divBdr>
        <w:top w:val="none" w:sz="0" w:space="0" w:color="auto"/>
        <w:left w:val="none" w:sz="0" w:space="0" w:color="auto"/>
        <w:bottom w:val="none" w:sz="0" w:space="0" w:color="auto"/>
        <w:right w:val="none" w:sz="0" w:space="0" w:color="auto"/>
      </w:divBdr>
    </w:div>
    <w:div w:id="1833989116">
      <w:bodyDiv w:val="1"/>
      <w:marLeft w:val="0"/>
      <w:marRight w:val="0"/>
      <w:marTop w:val="0"/>
      <w:marBottom w:val="0"/>
      <w:divBdr>
        <w:top w:val="none" w:sz="0" w:space="0" w:color="auto"/>
        <w:left w:val="none" w:sz="0" w:space="0" w:color="auto"/>
        <w:bottom w:val="none" w:sz="0" w:space="0" w:color="auto"/>
        <w:right w:val="none" w:sz="0" w:space="0" w:color="auto"/>
      </w:divBdr>
    </w:div>
    <w:div w:id="1841919079">
      <w:bodyDiv w:val="1"/>
      <w:marLeft w:val="0"/>
      <w:marRight w:val="0"/>
      <w:marTop w:val="0"/>
      <w:marBottom w:val="0"/>
      <w:divBdr>
        <w:top w:val="none" w:sz="0" w:space="0" w:color="auto"/>
        <w:left w:val="none" w:sz="0" w:space="0" w:color="auto"/>
        <w:bottom w:val="none" w:sz="0" w:space="0" w:color="auto"/>
        <w:right w:val="none" w:sz="0" w:space="0" w:color="auto"/>
      </w:divBdr>
    </w:div>
    <w:div w:id="1842426474">
      <w:bodyDiv w:val="1"/>
      <w:marLeft w:val="0"/>
      <w:marRight w:val="0"/>
      <w:marTop w:val="0"/>
      <w:marBottom w:val="0"/>
      <w:divBdr>
        <w:top w:val="none" w:sz="0" w:space="0" w:color="auto"/>
        <w:left w:val="none" w:sz="0" w:space="0" w:color="auto"/>
        <w:bottom w:val="none" w:sz="0" w:space="0" w:color="auto"/>
        <w:right w:val="none" w:sz="0" w:space="0" w:color="auto"/>
      </w:divBdr>
    </w:div>
    <w:div w:id="1843810996">
      <w:bodyDiv w:val="1"/>
      <w:marLeft w:val="0"/>
      <w:marRight w:val="0"/>
      <w:marTop w:val="0"/>
      <w:marBottom w:val="0"/>
      <w:divBdr>
        <w:top w:val="none" w:sz="0" w:space="0" w:color="auto"/>
        <w:left w:val="none" w:sz="0" w:space="0" w:color="auto"/>
        <w:bottom w:val="none" w:sz="0" w:space="0" w:color="auto"/>
        <w:right w:val="none" w:sz="0" w:space="0" w:color="auto"/>
      </w:divBdr>
    </w:div>
    <w:div w:id="1843858143">
      <w:bodyDiv w:val="1"/>
      <w:marLeft w:val="0"/>
      <w:marRight w:val="0"/>
      <w:marTop w:val="0"/>
      <w:marBottom w:val="0"/>
      <w:divBdr>
        <w:top w:val="none" w:sz="0" w:space="0" w:color="auto"/>
        <w:left w:val="none" w:sz="0" w:space="0" w:color="auto"/>
        <w:bottom w:val="none" w:sz="0" w:space="0" w:color="auto"/>
        <w:right w:val="none" w:sz="0" w:space="0" w:color="auto"/>
      </w:divBdr>
    </w:div>
    <w:div w:id="1846243081">
      <w:bodyDiv w:val="1"/>
      <w:marLeft w:val="0"/>
      <w:marRight w:val="0"/>
      <w:marTop w:val="0"/>
      <w:marBottom w:val="0"/>
      <w:divBdr>
        <w:top w:val="none" w:sz="0" w:space="0" w:color="auto"/>
        <w:left w:val="none" w:sz="0" w:space="0" w:color="auto"/>
        <w:bottom w:val="none" w:sz="0" w:space="0" w:color="auto"/>
        <w:right w:val="none" w:sz="0" w:space="0" w:color="auto"/>
      </w:divBdr>
    </w:div>
    <w:div w:id="1856263302">
      <w:bodyDiv w:val="1"/>
      <w:marLeft w:val="0"/>
      <w:marRight w:val="0"/>
      <w:marTop w:val="0"/>
      <w:marBottom w:val="0"/>
      <w:divBdr>
        <w:top w:val="none" w:sz="0" w:space="0" w:color="auto"/>
        <w:left w:val="none" w:sz="0" w:space="0" w:color="auto"/>
        <w:bottom w:val="none" w:sz="0" w:space="0" w:color="auto"/>
        <w:right w:val="none" w:sz="0" w:space="0" w:color="auto"/>
      </w:divBdr>
    </w:div>
    <w:div w:id="1861434020">
      <w:bodyDiv w:val="1"/>
      <w:marLeft w:val="0"/>
      <w:marRight w:val="0"/>
      <w:marTop w:val="0"/>
      <w:marBottom w:val="0"/>
      <w:divBdr>
        <w:top w:val="none" w:sz="0" w:space="0" w:color="auto"/>
        <w:left w:val="none" w:sz="0" w:space="0" w:color="auto"/>
        <w:bottom w:val="none" w:sz="0" w:space="0" w:color="auto"/>
        <w:right w:val="none" w:sz="0" w:space="0" w:color="auto"/>
      </w:divBdr>
    </w:div>
    <w:div w:id="1871528885">
      <w:bodyDiv w:val="1"/>
      <w:marLeft w:val="0"/>
      <w:marRight w:val="0"/>
      <w:marTop w:val="0"/>
      <w:marBottom w:val="0"/>
      <w:divBdr>
        <w:top w:val="none" w:sz="0" w:space="0" w:color="auto"/>
        <w:left w:val="none" w:sz="0" w:space="0" w:color="auto"/>
        <w:bottom w:val="none" w:sz="0" w:space="0" w:color="auto"/>
        <w:right w:val="none" w:sz="0" w:space="0" w:color="auto"/>
      </w:divBdr>
    </w:div>
    <w:div w:id="1873759089">
      <w:bodyDiv w:val="1"/>
      <w:marLeft w:val="0"/>
      <w:marRight w:val="0"/>
      <w:marTop w:val="0"/>
      <w:marBottom w:val="0"/>
      <w:divBdr>
        <w:top w:val="none" w:sz="0" w:space="0" w:color="auto"/>
        <w:left w:val="none" w:sz="0" w:space="0" w:color="auto"/>
        <w:bottom w:val="none" w:sz="0" w:space="0" w:color="auto"/>
        <w:right w:val="none" w:sz="0" w:space="0" w:color="auto"/>
      </w:divBdr>
    </w:div>
    <w:div w:id="1877428495">
      <w:bodyDiv w:val="1"/>
      <w:marLeft w:val="0"/>
      <w:marRight w:val="0"/>
      <w:marTop w:val="0"/>
      <w:marBottom w:val="0"/>
      <w:divBdr>
        <w:top w:val="none" w:sz="0" w:space="0" w:color="auto"/>
        <w:left w:val="none" w:sz="0" w:space="0" w:color="auto"/>
        <w:bottom w:val="none" w:sz="0" w:space="0" w:color="auto"/>
        <w:right w:val="none" w:sz="0" w:space="0" w:color="auto"/>
      </w:divBdr>
    </w:div>
    <w:div w:id="1878854638">
      <w:bodyDiv w:val="1"/>
      <w:marLeft w:val="0"/>
      <w:marRight w:val="0"/>
      <w:marTop w:val="0"/>
      <w:marBottom w:val="0"/>
      <w:divBdr>
        <w:top w:val="none" w:sz="0" w:space="0" w:color="auto"/>
        <w:left w:val="none" w:sz="0" w:space="0" w:color="auto"/>
        <w:bottom w:val="none" w:sz="0" w:space="0" w:color="auto"/>
        <w:right w:val="none" w:sz="0" w:space="0" w:color="auto"/>
      </w:divBdr>
    </w:div>
    <w:div w:id="1881165041">
      <w:bodyDiv w:val="1"/>
      <w:marLeft w:val="0"/>
      <w:marRight w:val="0"/>
      <w:marTop w:val="0"/>
      <w:marBottom w:val="0"/>
      <w:divBdr>
        <w:top w:val="none" w:sz="0" w:space="0" w:color="auto"/>
        <w:left w:val="none" w:sz="0" w:space="0" w:color="auto"/>
        <w:bottom w:val="none" w:sz="0" w:space="0" w:color="auto"/>
        <w:right w:val="none" w:sz="0" w:space="0" w:color="auto"/>
      </w:divBdr>
    </w:div>
    <w:div w:id="1883008102">
      <w:bodyDiv w:val="1"/>
      <w:marLeft w:val="0"/>
      <w:marRight w:val="0"/>
      <w:marTop w:val="0"/>
      <w:marBottom w:val="0"/>
      <w:divBdr>
        <w:top w:val="none" w:sz="0" w:space="0" w:color="auto"/>
        <w:left w:val="none" w:sz="0" w:space="0" w:color="auto"/>
        <w:bottom w:val="none" w:sz="0" w:space="0" w:color="auto"/>
        <w:right w:val="none" w:sz="0" w:space="0" w:color="auto"/>
      </w:divBdr>
    </w:div>
    <w:div w:id="1883054559">
      <w:bodyDiv w:val="1"/>
      <w:marLeft w:val="0"/>
      <w:marRight w:val="0"/>
      <w:marTop w:val="0"/>
      <w:marBottom w:val="0"/>
      <w:divBdr>
        <w:top w:val="none" w:sz="0" w:space="0" w:color="auto"/>
        <w:left w:val="none" w:sz="0" w:space="0" w:color="auto"/>
        <w:bottom w:val="none" w:sz="0" w:space="0" w:color="auto"/>
        <w:right w:val="none" w:sz="0" w:space="0" w:color="auto"/>
      </w:divBdr>
    </w:div>
    <w:div w:id="1885369616">
      <w:bodyDiv w:val="1"/>
      <w:marLeft w:val="0"/>
      <w:marRight w:val="0"/>
      <w:marTop w:val="0"/>
      <w:marBottom w:val="0"/>
      <w:divBdr>
        <w:top w:val="none" w:sz="0" w:space="0" w:color="auto"/>
        <w:left w:val="none" w:sz="0" w:space="0" w:color="auto"/>
        <w:bottom w:val="none" w:sz="0" w:space="0" w:color="auto"/>
        <w:right w:val="none" w:sz="0" w:space="0" w:color="auto"/>
      </w:divBdr>
    </w:div>
    <w:div w:id="1886674576">
      <w:bodyDiv w:val="1"/>
      <w:marLeft w:val="0"/>
      <w:marRight w:val="0"/>
      <w:marTop w:val="0"/>
      <w:marBottom w:val="0"/>
      <w:divBdr>
        <w:top w:val="none" w:sz="0" w:space="0" w:color="auto"/>
        <w:left w:val="none" w:sz="0" w:space="0" w:color="auto"/>
        <w:bottom w:val="none" w:sz="0" w:space="0" w:color="auto"/>
        <w:right w:val="none" w:sz="0" w:space="0" w:color="auto"/>
      </w:divBdr>
    </w:div>
    <w:div w:id="1889102623">
      <w:bodyDiv w:val="1"/>
      <w:marLeft w:val="0"/>
      <w:marRight w:val="0"/>
      <w:marTop w:val="0"/>
      <w:marBottom w:val="0"/>
      <w:divBdr>
        <w:top w:val="none" w:sz="0" w:space="0" w:color="auto"/>
        <w:left w:val="none" w:sz="0" w:space="0" w:color="auto"/>
        <w:bottom w:val="none" w:sz="0" w:space="0" w:color="auto"/>
        <w:right w:val="none" w:sz="0" w:space="0" w:color="auto"/>
      </w:divBdr>
    </w:div>
    <w:div w:id="1893694269">
      <w:bodyDiv w:val="1"/>
      <w:marLeft w:val="0"/>
      <w:marRight w:val="0"/>
      <w:marTop w:val="0"/>
      <w:marBottom w:val="0"/>
      <w:divBdr>
        <w:top w:val="none" w:sz="0" w:space="0" w:color="auto"/>
        <w:left w:val="none" w:sz="0" w:space="0" w:color="auto"/>
        <w:bottom w:val="none" w:sz="0" w:space="0" w:color="auto"/>
        <w:right w:val="none" w:sz="0" w:space="0" w:color="auto"/>
      </w:divBdr>
    </w:div>
    <w:div w:id="1898008694">
      <w:bodyDiv w:val="1"/>
      <w:marLeft w:val="0"/>
      <w:marRight w:val="0"/>
      <w:marTop w:val="0"/>
      <w:marBottom w:val="0"/>
      <w:divBdr>
        <w:top w:val="none" w:sz="0" w:space="0" w:color="auto"/>
        <w:left w:val="none" w:sz="0" w:space="0" w:color="auto"/>
        <w:bottom w:val="none" w:sz="0" w:space="0" w:color="auto"/>
        <w:right w:val="none" w:sz="0" w:space="0" w:color="auto"/>
      </w:divBdr>
    </w:div>
    <w:div w:id="1903828986">
      <w:bodyDiv w:val="1"/>
      <w:marLeft w:val="0"/>
      <w:marRight w:val="0"/>
      <w:marTop w:val="0"/>
      <w:marBottom w:val="0"/>
      <w:divBdr>
        <w:top w:val="none" w:sz="0" w:space="0" w:color="auto"/>
        <w:left w:val="none" w:sz="0" w:space="0" w:color="auto"/>
        <w:bottom w:val="none" w:sz="0" w:space="0" w:color="auto"/>
        <w:right w:val="none" w:sz="0" w:space="0" w:color="auto"/>
      </w:divBdr>
    </w:div>
    <w:div w:id="1905139437">
      <w:bodyDiv w:val="1"/>
      <w:marLeft w:val="0"/>
      <w:marRight w:val="0"/>
      <w:marTop w:val="0"/>
      <w:marBottom w:val="0"/>
      <w:divBdr>
        <w:top w:val="none" w:sz="0" w:space="0" w:color="auto"/>
        <w:left w:val="none" w:sz="0" w:space="0" w:color="auto"/>
        <w:bottom w:val="none" w:sz="0" w:space="0" w:color="auto"/>
        <w:right w:val="none" w:sz="0" w:space="0" w:color="auto"/>
      </w:divBdr>
    </w:div>
    <w:div w:id="1905531075">
      <w:bodyDiv w:val="1"/>
      <w:marLeft w:val="0"/>
      <w:marRight w:val="0"/>
      <w:marTop w:val="0"/>
      <w:marBottom w:val="0"/>
      <w:divBdr>
        <w:top w:val="none" w:sz="0" w:space="0" w:color="auto"/>
        <w:left w:val="none" w:sz="0" w:space="0" w:color="auto"/>
        <w:bottom w:val="none" w:sz="0" w:space="0" w:color="auto"/>
        <w:right w:val="none" w:sz="0" w:space="0" w:color="auto"/>
      </w:divBdr>
    </w:div>
    <w:div w:id="1907952555">
      <w:bodyDiv w:val="1"/>
      <w:marLeft w:val="0"/>
      <w:marRight w:val="0"/>
      <w:marTop w:val="0"/>
      <w:marBottom w:val="0"/>
      <w:divBdr>
        <w:top w:val="none" w:sz="0" w:space="0" w:color="auto"/>
        <w:left w:val="none" w:sz="0" w:space="0" w:color="auto"/>
        <w:bottom w:val="none" w:sz="0" w:space="0" w:color="auto"/>
        <w:right w:val="none" w:sz="0" w:space="0" w:color="auto"/>
      </w:divBdr>
    </w:div>
    <w:div w:id="1910114900">
      <w:bodyDiv w:val="1"/>
      <w:marLeft w:val="0"/>
      <w:marRight w:val="0"/>
      <w:marTop w:val="0"/>
      <w:marBottom w:val="0"/>
      <w:divBdr>
        <w:top w:val="none" w:sz="0" w:space="0" w:color="auto"/>
        <w:left w:val="none" w:sz="0" w:space="0" w:color="auto"/>
        <w:bottom w:val="none" w:sz="0" w:space="0" w:color="auto"/>
        <w:right w:val="none" w:sz="0" w:space="0" w:color="auto"/>
      </w:divBdr>
    </w:div>
    <w:div w:id="1917204360">
      <w:bodyDiv w:val="1"/>
      <w:marLeft w:val="0"/>
      <w:marRight w:val="0"/>
      <w:marTop w:val="0"/>
      <w:marBottom w:val="0"/>
      <w:divBdr>
        <w:top w:val="none" w:sz="0" w:space="0" w:color="auto"/>
        <w:left w:val="none" w:sz="0" w:space="0" w:color="auto"/>
        <w:bottom w:val="none" w:sz="0" w:space="0" w:color="auto"/>
        <w:right w:val="none" w:sz="0" w:space="0" w:color="auto"/>
      </w:divBdr>
    </w:div>
    <w:div w:id="1918713188">
      <w:bodyDiv w:val="1"/>
      <w:marLeft w:val="0"/>
      <w:marRight w:val="0"/>
      <w:marTop w:val="0"/>
      <w:marBottom w:val="0"/>
      <w:divBdr>
        <w:top w:val="none" w:sz="0" w:space="0" w:color="auto"/>
        <w:left w:val="none" w:sz="0" w:space="0" w:color="auto"/>
        <w:bottom w:val="none" w:sz="0" w:space="0" w:color="auto"/>
        <w:right w:val="none" w:sz="0" w:space="0" w:color="auto"/>
      </w:divBdr>
    </w:div>
    <w:div w:id="1920559837">
      <w:bodyDiv w:val="1"/>
      <w:marLeft w:val="0"/>
      <w:marRight w:val="0"/>
      <w:marTop w:val="0"/>
      <w:marBottom w:val="0"/>
      <w:divBdr>
        <w:top w:val="none" w:sz="0" w:space="0" w:color="auto"/>
        <w:left w:val="none" w:sz="0" w:space="0" w:color="auto"/>
        <w:bottom w:val="none" w:sz="0" w:space="0" w:color="auto"/>
        <w:right w:val="none" w:sz="0" w:space="0" w:color="auto"/>
      </w:divBdr>
    </w:div>
    <w:div w:id="1921674102">
      <w:bodyDiv w:val="1"/>
      <w:marLeft w:val="0"/>
      <w:marRight w:val="0"/>
      <w:marTop w:val="0"/>
      <w:marBottom w:val="0"/>
      <w:divBdr>
        <w:top w:val="none" w:sz="0" w:space="0" w:color="auto"/>
        <w:left w:val="none" w:sz="0" w:space="0" w:color="auto"/>
        <w:bottom w:val="none" w:sz="0" w:space="0" w:color="auto"/>
        <w:right w:val="none" w:sz="0" w:space="0" w:color="auto"/>
      </w:divBdr>
    </w:div>
    <w:div w:id="1921796009">
      <w:bodyDiv w:val="1"/>
      <w:marLeft w:val="0"/>
      <w:marRight w:val="0"/>
      <w:marTop w:val="0"/>
      <w:marBottom w:val="0"/>
      <w:divBdr>
        <w:top w:val="none" w:sz="0" w:space="0" w:color="auto"/>
        <w:left w:val="none" w:sz="0" w:space="0" w:color="auto"/>
        <w:bottom w:val="none" w:sz="0" w:space="0" w:color="auto"/>
        <w:right w:val="none" w:sz="0" w:space="0" w:color="auto"/>
      </w:divBdr>
    </w:div>
    <w:div w:id="1925989675">
      <w:bodyDiv w:val="1"/>
      <w:marLeft w:val="0"/>
      <w:marRight w:val="0"/>
      <w:marTop w:val="0"/>
      <w:marBottom w:val="0"/>
      <w:divBdr>
        <w:top w:val="none" w:sz="0" w:space="0" w:color="auto"/>
        <w:left w:val="none" w:sz="0" w:space="0" w:color="auto"/>
        <w:bottom w:val="none" w:sz="0" w:space="0" w:color="auto"/>
        <w:right w:val="none" w:sz="0" w:space="0" w:color="auto"/>
      </w:divBdr>
    </w:div>
    <w:div w:id="1929343509">
      <w:bodyDiv w:val="1"/>
      <w:marLeft w:val="0"/>
      <w:marRight w:val="0"/>
      <w:marTop w:val="0"/>
      <w:marBottom w:val="0"/>
      <w:divBdr>
        <w:top w:val="none" w:sz="0" w:space="0" w:color="auto"/>
        <w:left w:val="none" w:sz="0" w:space="0" w:color="auto"/>
        <w:bottom w:val="none" w:sz="0" w:space="0" w:color="auto"/>
        <w:right w:val="none" w:sz="0" w:space="0" w:color="auto"/>
      </w:divBdr>
    </w:div>
    <w:div w:id="1930574579">
      <w:bodyDiv w:val="1"/>
      <w:marLeft w:val="0"/>
      <w:marRight w:val="0"/>
      <w:marTop w:val="0"/>
      <w:marBottom w:val="0"/>
      <w:divBdr>
        <w:top w:val="none" w:sz="0" w:space="0" w:color="auto"/>
        <w:left w:val="none" w:sz="0" w:space="0" w:color="auto"/>
        <w:bottom w:val="none" w:sz="0" w:space="0" w:color="auto"/>
        <w:right w:val="none" w:sz="0" w:space="0" w:color="auto"/>
      </w:divBdr>
    </w:div>
    <w:div w:id="1931546581">
      <w:bodyDiv w:val="1"/>
      <w:marLeft w:val="0"/>
      <w:marRight w:val="0"/>
      <w:marTop w:val="0"/>
      <w:marBottom w:val="0"/>
      <w:divBdr>
        <w:top w:val="none" w:sz="0" w:space="0" w:color="auto"/>
        <w:left w:val="none" w:sz="0" w:space="0" w:color="auto"/>
        <w:bottom w:val="none" w:sz="0" w:space="0" w:color="auto"/>
        <w:right w:val="none" w:sz="0" w:space="0" w:color="auto"/>
      </w:divBdr>
    </w:div>
    <w:div w:id="1932859270">
      <w:bodyDiv w:val="1"/>
      <w:marLeft w:val="0"/>
      <w:marRight w:val="0"/>
      <w:marTop w:val="0"/>
      <w:marBottom w:val="0"/>
      <w:divBdr>
        <w:top w:val="none" w:sz="0" w:space="0" w:color="auto"/>
        <w:left w:val="none" w:sz="0" w:space="0" w:color="auto"/>
        <w:bottom w:val="none" w:sz="0" w:space="0" w:color="auto"/>
        <w:right w:val="none" w:sz="0" w:space="0" w:color="auto"/>
      </w:divBdr>
    </w:div>
    <w:div w:id="1935242712">
      <w:bodyDiv w:val="1"/>
      <w:marLeft w:val="0"/>
      <w:marRight w:val="0"/>
      <w:marTop w:val="0"/>
      <w:marBottom w:val="0"/>
      <w:divBdr>
        <w:top w:val="none" w:sz="0" w:space="0" w:color="auto"/>
        <w:left w:val="none" w:sz="0" w:space="0" w:color="auto"/>
        <w:bottom w:val="none" w:sz="0" w:space="0" w:color="auto"/>
        <w:right w:val="none" w:sz="0" w:space="0" w:color="auto"/>
      </w:divBdr>
    </w:div>
    <w:div w:id="1935942713">
      <w:bodyDiv w:val="1"/>
      <w:marLeft w:val="0"/>
      <w:marRight w:val="0"/>
      <w:marTop w:val="0"/>
      <w:marBottom w:val="0"/>
      <w:divBdr>
        <w:top w:val="none" w:sz="0" w:space="0" w:color="auto"/>
        <w:left w:val="none" w:sz="0" w:space="0" w:color="auto"/>
        <w:bottom w:val="none" w:sz="0" w:space="0" w:color="auto"/>
        <w:right w:val="none" w:sz="0" w:space="0" w:color="auto"/>
      </w:divBdr>
    </w:div>
    <w:div w:id="1936741993">
      <w:bodyDiv w:val="1"/>
      <w:marLeft w:val="0"/>
      <w:marRight w:val="0"/>
      <w:marTop w:val="0"/>
      <w:marBottom w:val="0"/>
      <w:divBdr>
        <w:top w:val="none" w:sz="0" w:space="0" w:color="auto"/>
        <w:left w:val="none" w:sz="0" w:space="0" w:color="auto"/>
        <w:bottom w:val="none" w:sz="0" w:space="0" w:color="auto"/>
        <w:right w:val="none" w:sz="0" w:space="0" w:color="auto"/>
      </w:divBdr>
      <w:divsChild>
        <w:div w:id="1704862743">
          <w:marLeft w:val="0"/>
          <w:marRight w:val="0"/>
          <w:marTop w:val="0"/>
          <w:marBottom w:val="0"/>
          <w:divBdr>
            <w:top w:val="none" w:sz="0" w:space="0" w:color="auto"/>
            <w:left w:val="none" w:sz="0" w:space="0" w:color="auto"/>
            <w:bottom w:val="none" w:sz="0" w:space="0" w:color="auto"/>
            <w:right w:val="none" w:sz="0" w:space="0" w:color="auto"/>
          </w:divBdr>
        </w:div>
        <w:div w:id="692727954">
          <w:marLeft w:val="0"/>
          <w:marRight w:val="0"/>
          <w:marTop w:val="0"/>
          <w:marBottom w:val="0"/>
          <w:divBdr>
            <w:top w:val="none" w:sz="0" w:space="0" w:color="auto"/>
            <w:left w:val="none" w:sz="0" w:space="0" w:color="auto"/>
            <w:bottom w:val="none" w:sz="0" w:space="0" w:color="auto"/>
            <w:right w:val="none" w:sz="0" w:space="0" w:color="auto"/>
          </w:divBdr>
        </w:div>
        <w:div w:id="1749615019">
          <w:marLeft w:val="0"/>
          <w:marRight w:val="0"/>
          <w:marTop w:val="0"/>
          <w:marBottom w:val="0"/>
          <w:divBdr>
            <w:top w:val="none" w:sz="0" w:space="0" w:color="auto"/>
            <w:left w:val="none" w:sz="0" w:space="0" w:color="auto"/>
            <w:bottom w:val="none" w:sz="0" w:space="0" w:color="auto"/>
            <w:right w:val="none" w:sz="0" w:space="0" w:color="auto"/>
          </w:divBdr>
        </w:div>
        <w:div w:id="346559183">
          <w:marLeft w:val="0"/>
          <w:marRight w:val="0"/>
          <w:marTop w:val="0"/>
          <w:marBottom w:val="0"/>
          <w:divBdr>
            <w:top w:val="none" w:sz="0" w:space="0" w:color="auto"/>
            <w:left w:val="none" w:sz="0" w:space="0" w:color="auto"/>
            <w:bottom w:val="none" w:sz="0" w:space="0" w:color="auto"/>
            <w:right w:val="none" w:sz="0" w:space="0" w:color="auto"/>
          </w:divBdr>
        </w:div>
        <w:div w:id="519662400">
          <w:marLeft w:val="0"/>
          <w:marRight w:val="0"/>
          <w:marTop w:val="0"/>
          <w:marBottom w:val="0"/>
          <w:divBdr>
            <w:top w:val="none" w:sz="0" w:space="0" w:color="auto"/>
            <w:left w:val="none" w:sz="0" w:space="0" w:color="auto"/>
            <w:bottom w:val="none" w:sz="0" w:space="0" w:color="auto"/>
            <w:right w:val="none" w:sz="0" w:space="0" w:color="auto"/>
          </w:divBdr>
        </w:div>
        <w:div w:id="791048584">
          <w:marLeft w:val="0"/>
          <w:marRight w:val="0"/>
          <w:marTop w:val="0"/>
          <w:marBottom w:val="0"/>
          <w:divBdr>
            <w:top w:val="none" w:sz="0" w:space="0" w:color="auto"/>
            <w:left w:val="none" w:sz="0" w:space="0" w:color="auto"/>
            <w:bottom w:val="none" w:sz="0" w:space="0" w:color="auto"/>
            <w:right w:val="none" w:sz="0" w:space="0" w:color="auto"/>
          </w:divBdr>
        </w:div>
        <w:div w:id="553153918">
          <w:marLeft w:val="0"/>
          <w:marRight w:val="0"/>
          <w:marTop w:val="0"/>
          <w:marBottom w:val="0"/>
          <w:divBdr>
            <w:top w:val="none" w:sz="0" w:space="0" w:color="auto"/>
            <w:left w:val="none" w:sz="0" w:space="0" w:color="auto"/>
            <w:bottom w:val="none" w:sz="0" w:space="0" w:color="auto"/>
            <w:right w:val="none" w:sz="0" w:space="0" w:color="auto"/>
          </w:divBdr>
        </w:div>
        <w:div w:id="437870911">
          <w:marLeft w:val="0"/>
          <w:marRight w:val="0"/>
          <w:marTop w:val="0"/>
          <w:marBottom w:val="0"/>
          <w:divBdr>
            <w:top w:val="none" w:sz="0" w:space="0" w:color="auto"/>
            <w:left w:val="none" w:sz="0" w:space="0" w:color="auto"/>
            <w:bottom w:val="none" w:sz="0" w:space="0" w:color="auto"/>
            <w:right w:val="none" w:sz="0" w:space="0" w:color="auto"/>
          </w:divBdr>
        </w:div>
        <w:div w:id="1245804051">
          <w:marLeft w:val="0"/>
          <w:marRight w:val="0"/>
          <w:marTop w:val="0"/>
          <w:marBottom w:val="0"/>
          <w:divBdr>
            <w:top w:val="none" w:sz="0" w:space="0" w:color="auto"/>
            <w:left w:val="none" w:sz="0" w:space="0" w:color="auto"/>
            <w:bottom w:val="none" w:sz="0" w:space="0" w:color="auto"/>
            <w:right w:val="none" w:sz="0" w:space="0" w:color="auto"/>
          </w:divBdr>
        </w:div>
        <w:div w:id="1956979890">
          <w:marLeft w:val="0"/>
          <w:marRight w:val="0"/>
          <w:marTop w:val="0"/>
          <w:marBottom w:val="0"/>
          <w:divBdr>
            <w:top w:val="none" w:sz="0" w:space="0" w:color="auto"/>
            <w:left w:val="none" w:sz="0" w:space="0" w:color="auto"/>
            <w:bottom w:val="none" w:sz="0" w:space="0" w:color="auto"/>
            <w:right w:val="none" w:sz="0" w:space="0" w:color="auto"/>
          </w:divBdr>
        </w:div>
        <w:div w:id="1189441998">
          <w:marLeft w:val="0"/>
          <w:marRight w:val="0"/>
          <w:marTop w:val="0"/>
          <w:marBottom w:val="0"/>
          <w:divBdr>
            <w:top w:val="none" w:sz="0" w:space="0" w:color="auto"/>
            <w:left w:val="none" w:sz="0" w:space="0" w:color="auto"/>
            <w:bottom w:val="none" w:sz="0" w:space="0" w:color="auto"/>
            <w:right w:val="none" w:sz="0" w:space="0" w:color="auto"/>
          </w:divBdr>
        </w:div>
        <w:div w:id="184908390">
          <w:marLeft w:val="0"/>
          <w:marRight w:val="0"/>
          <w:marTop w:val="0"/>
          <w:marBottom w:val="0"/>
          <w:divBdr>
            <w:top w:val="none" w:sz="0" w:space="0" w:color="auto"/>
            <w:left w:val="none" w:sz="0" w:space="0" w:color="auto"/>
            <w:bottom w:val="none" w:sz="0" w:space="0" w:color="auto"/>
            <w:right w:val="none" w:sz="0" w:space="0" w:color="auto"/>
          </w:divBdr>
        </w:div>
        <w:div w:id="1420254055">
          <w:marLeft w:val="0"/>
          <w:marRight w:val="0"/>
          <w:marTop w:val="0"/>
          <w:marBottom w:val="0"/>
          <w:divBdr>
            <w:top w:val="none" w:sz="0" w:space="0" w:color="auto"/>
            <w:left w:val="none" w:sz="0" w:space="0" w:color="auto"/>
            <w:bottom w:val="none" w:sz="0" w:space="0" w:color="auto"/>
            <w:right w:val="none" w:sz="0" w:space="0" w:color="auto"/>
          </w:divBdr>
        </w:div>
        <w:div w:id="291639181">
          <w:marLeft w:val="0"/>
          <w:marRight w:val="0"/>
          <w:marTop w:val="0"/>
          <w:marBottom w:val="0"/>
          <w:divBdr>
            <w:top w:val="none" w:sz="0" w:space="0" w:color="auto"/>
            <w:left w:val="none" w:sz="0" w:space="0" w:color="auto"/>
            <w:bottom w:val="none" w:sz="0" w:space="0" w:color="auto"/>
            <w:right w:val="none" w:sz="0" w:space="0" w:color="auto"/>
          </w:divBdr>
        </w:div>
        <w:div w:id="775711844">
          <w:marLeft w:val="0"/>
          <w:marRight w:val="0"/>
          <w:marTop w:val="0"/>
          <w:marBottom w:val="0"/>
          <w:divBdr>
            <w:top w:val="none" w:sz="0" w:space="0" w:color="auto"/>
            <w:left w:val="none" w:sz="0" w:space="0" w:color="auto"/>
            <w:bottom w:val="none" w:sz="0" w:space="0" w:color="auto"/>
            <w:right w:val="none" w:sz="0" w:space="0" w:color="auto"/>
          </w:divBdr>
        </w:div>
        <w:div w:id="1896576846">
          <w:marLeft w:val="0"/>
          <w:marRight w:val="0"/>
          <w:marTop w:val="0"/>
          <w:marBottom w:val="0"/>
          <w:divBdr>
            <w:top w:val="none" w:sz="0" w:space="0" w:color="auto"/>
            <w:left w:val="none" w:sz="0" w:space="0" w:color="auto"/>
            <w:bottom w:val="none" w:sz="0" w:space="0" w:color="auto"/>
            <w:right w:val="none" w:sz="0" w:space="0" w:color="auto"/>
          </w:divBdr>
        </w:div>
        <w:div w:id="540747059">
          <w:marLeft w:val="0"/>
          <w:marRight w:val="0"/>
          <w:marTop w:val="0"/>
          <w:marBottom w:val="0"/>
          <w:divBdr>
            <w:top w:val="none" w:sz="0" w:space="0" w:color="auto"/>
            <w:left w:val="none" w:sz="0" w:space="0" w:color="auto"/>
            <w:bottom w:val="none" w:sz="0" w:space="0" w:color="auto"/>
            <w:right w:val="none" w:sz="0" w:space="0" w:color="auto"/>
          </w:divBdr>
        </w:div>
        <w:div w:id="870385822">
          <w:marLeft w:val="0"/>
          <w:marRight w:val="0"/>
          <w:marTop w:val="0"/>
          <w:marBottom w:val="0"/>
          <w:divBdr>
            <w:top w:val="none" w:sz="0" w:space="0" w:color="auto"/>
            <w:left w:val="none" w:sz="0" w:space="0" w:color="auto"/>
            <w:bottom w:val="none" w:sz="0" w:space="0" w:color="auto"/>
            <w:right w:val="none" w:sz="0" w:space="0" w:color="auto"/>
          </w:divBdr>
        </w:div>
        <w:div w:id="597252822">
          <w:marLeft w:val="0"/>
          <w:marRight w:val="0"/>
          <w:marTop w:val="0"/>
          <w:marBottom w:val="0"/>
          <w:divBdr>
            <w:top w:val="none" w:sz="0" w:space="0" w:color="auto"/>
            <w:left w:val="none" w:sz="0" w:space="0" w:color="auto"/>
            <w:bottom w:val="none" w:sz="0" w:space="0" w:color="auto"/>
            <w:right w:val="none" w:sz="0" w:space="0" w:color="auto"/>
          </w:divBdr>
        </w:div>
        <w:div w:id="1775982087">
          <w:marLeft w:val="0"/>
          <w:marRight w:val="0"/>
          <w:marTop w:val="0"/>
          <w:marBottom w:val="0"/>
          <w:divBdr>
            <w:top w:val="none" w:sz="0" w:space="0" w:color="auto"/>
            <w:left w:val="none" w:sz="0" w:space="0" w:color="auto"/>
            <w:bottom w:val="none" w:sz="0" w:space="0" w:color="auto"/>
            <w:right w:val="none" w:sz="0" w:space="0" w:color="auto"/>
          </w:divBdr>
        </w:div>
        <w:div w:id="2116830156">
          <w:marLeft w:val="0"/>
          <w:marRight w:val="0"/>
          <w:marTop w:val="0"/>
          <w:marBottom w:val="0"/>
          <w:divBdr>
            <w:top w:val="none" w:sz="0" w:space="0" w:color="auto"/>
            <w:left w:val="none" w:sz="0" w:space="0" w:color="auto"/>
            <w:bottom w:val="none" w:sz="0" w:space="0" w:color="auto"/>
            <w:right w:val="none" w:sz="0" w:space="0" w:color="auto"/>
          </w:divBdr>
        </w:div>
        <w:div w:id="173883491">
          <w:marLeft w:val="0"/>
          <w:marRight w:val="0"/>
          <w:marTop w:val="0"/>
          <w:marBottom w:val="0"/>
          <w:divBdr>
            <w:top w:val="none" w:sz="0" w:space="0" w:color="auto"/>
            <w:left w:val="none" w:sz="0" w:space="0" w:color="auto"/>
            <w:bottom w:val="none" w:sz="0" w:space="0" w:color="auto"/>
            <w:right w:val="none" w:sz="0" w:space="0" w:color="auto"/>
          </w:divBdr>
        </w:div>
        <w:div w:id="1049299353">
          <w:marLeft w:val="0"/>
          <w:marRight w:val="0"/>
          <w:marTop w:val="0"/>
          <w:marBottom w:val="0"/>
          <w:divBdr>
            <w:top w:val="none" w:sz="0" w:space="0" w:color="auto"/>
            <w:left w:val="none" w:sz="0" w:space="0" w:color="auto"/>
            <w:bottom w:val="none" w:sz="0" w:space="0" w:color="auto"/>
            <w:right w:val="none" w:sz="0" w:space="0" w:color="auto"/>
          </w:divBdr>
        </w:div>
        <w:div w:id="1198815090">
          <w:marLeft w:val="0"/>
          <w:marRight w:val="0"/>
          <w:marTop w:val="0"/>
          <w:marBottom w:val="0"/>
          <w:divBdr>
            <w:top w:val="none" w:sz="0" w:space="0" w:color="auto"/>
            <w:left w:val="none" w:sz="0" w:space="0" w:color="auto"/>
            <w:bottom w:val="none" w:sz="0" w:space="0" w:color="auto"/>
            <w:right w:val="none" w:sz="0" w:space="0" w:color="auto"/>
          </w:divBdr>
        </w:div>
        <w:div w:id="1810315439">
          <w:marLeft w:val="0"/>
          <w:marRight w:val="0"/>
          <w:marTop w:val="0"/>
          <w:marBottom w:val="0"/>
          <w:divBdr>
            <w:top w:val="none" w:sz="0" w:space="0" w:color="auto"/>
            <w:left w:val="none" w:sz="0" w:space="0" w:color="auto"/>
            <w:bottom w:val="none" w:sz="0" w:space="0" w:color="auto"/>
            <w:right w:val="none" w:sz="0" w:space="0" w:color="auto"/>
          </w:divBdr>
        </w:div>
        <w:div w:id="478302402">
          <w:marLeft w:val="0"/>
          <w:marRight w:val="0"/>
          <w:marTop w:val="0"/>
          <w:marBottom w:val="0"/>
          <w:divBdr>
            <w:top w:val="none" w:sz="0" w:space="0" w:color="auto"/>
            <w:left w:val="none" w:sz="0" w:space="0" w:color="auto"/>
            <w:bottom w:val="none" w:sz="0" w:space="0" w:color="auto"/>
            <w:right w:val="none" w:sz="0" w:space="0" w:color="auto"/>
          </w:divBdr>
        </w:div>
        <w:div w:id="1140347680">
          <w:marLeft w:val="0"/>
          <w:marRight w:val="0"/>
          <w:marTop w:val="0"/>
          <w:marBottom w:val="0"/>
          <w:divBdr>
            <w:top w:val="none" w:sz="0" w:space="0" w:color="auto"/>
            <w:left w:val="none" w:sz="0" w:space="0" w:color="auto"/>
            <w:bottom w:val="none" w:sz="0" w:space="0" w:color="auto"/>
            <w:right w:val="none" w:sz="0" w:space="0" w:color="auto"/>
          </w:divBdr>
        </w:div>
        <w:div w:id="533808281">
          <w:marLeft w:val="0"/>
          <w:marRight w:val="0"/>
          <w:marTop w:val="0"/>
          <w:marBottom w:val="0"/>
          <w:divBdr>
            <w:top w:val="none" w:sz="0" w:space="0" w:color="auto"/>
            <w:left w:val="none" w:sz="0" w:space="0" w:color="auto"/>
            <w:bottom w:val="none" w:sz="0" w:space="0" w:color="auto"/>
            <w:right w:val="none" w:sz="0" w:space="0" w:color="auto"/>
          </w:divBdr>
        </w:div>
        <w:div w:id="1282882582">
          <w:marLeft w:val="0"/>
          <w:marRight w:val="0"/>
          <w:marTop w:val="0"/>
          <w:marBottom w:val="0"/>
          <w:divBdr>
            <w:top w:val="none" w:sz="0" w:space="0" w:color="auto"/>
            <w:left w:val="none" w:sz="0" w:space="0" w:color="auto"/>
            <w:bottom w:val="none" w:sz="0" w:space="0" w:color="auto"/>
            <w:right w:val="none" w:sz="0" w:space="0" w:color="auto"/>
          </w:divBdr>
        </w:div>
        <w:div w:id="858348083">
          <w:marLeft w:val="0"/>
          <w:marRight w:val="0"/>
          <w:marTop w:val="0"/>
          <w:marBottom w:val="0"/>
          <w:divBdr>
            <w:top w:val="none" w:sz="0" w:space="0" w:color="auto"/>
            <w:left w:val="none" w:sz="0" w:space="0" w:color="auto"/>
            <w:bottom w:val="none" w:sz="0" w:space="0" w:color="auto"/>
            <w:right w:val="none" w:sz="0" w:space="0" w:color="auto"/>
          </w:divBdr>
        </w:div>
        <w:div w:id="1723209545">
          <w:marLeft w:val="0"/>
          <w:marRight w:val="0"/>
          <w:marTop w:val="0"/>
          <w:marBottom w:val="0"/>
          <w:divBdr>
            <w:top w:val="none" w:sz="0" w:space="0" w:color="auto"/>
            <w:left w:val="none" w:sz="0" w:space="0" w:color="auto"/>
            <w:bottom w:val="none" w:sz="0" w:space="0" w:color="auto"/>
            <w:right w:val="none" w:sz="0" w:space="0" w:color="auto"/>
          </w:divBdr>
        </w:div>
        <w:div w:id="1738093977">
          <w:marLeft w:val="0"/>
          <w:marRight w:val="0"/>
          <w:marTop w:val="0"/>
          <w:marBottom w:val="0"/>
          <w:divBdr>
            <w:top w:val="none" w:sz="0" w:space="0" w:color="auto"/>
            <w:left w:val="none" w:sz="0" w:space="0" w:color="auto"/>
            <w:bottom w:val="none" w:sz="0" w:space="0" w:color="auto"/>
            <w:right w:val="none" w:sz="0" w:space="0" w:color="auto"/>
          </w:divBdr>
        </w:div>
        <w:div w:id="1208487917">
          <w:marLeft w:val="0"/>
          <w:marRight w:val="0"/>
          <w:marTop w:val="0"/>
          <w:marBottom w:val="0"/>
          <w:divBdr>
            <w:top w:val="none" w:sz="0" w:space="0" w:color="auto"/>
            <w:left w:val="none" w:sz="0" w:space="0" w:color="auto"/>
            <w:bottom w:val="none" w:sz="0" w:space="0" w:color="auto"/>
            <w:right w:val="none" w:sz="0" w:space="0" w:color="auto"/>
          </w:divBdr>
        </w:div>
        <w:div w:id="370497378">
          <w:marLeft w:val="0"/>
          <w:marRight w:val="0"/>
          <w:marTop w:val="0"/>
          <w:marBottom w:val="0"/>
          <w:divBdr>
            <w:top w:val="none" w:sz="0" w:space="0" w:color="auto"/>
            <w:left w:val="none" w:sz="0" w:space="0" w:color="auto"/>
            <w:bottom w:val="none" w:sz="0" w:space="0" w:color="auto"/>
            <w:right w:val="none" w:sz="0" w:space="0" w:color="auto"/>
          </w:divBdr>
        </w:div>
        <w:div w:id="1817454295">
          <w:marLeft w:val="0"/>
          <w:marRight w:val="0"/>
          <w:marTop w:val="0"/>
          <w:marBottom w:val="0"/>
          <w:divBdr>
            <w:top w:val="none" w:sz="0" w:space="0" w:color="auto"/>
            <w:left w:val="none" w:sz="0" w:space="0" w:color="auto"/>
            <w:bottom w:val="none" w:sz="0" w:space="0" w:color="auto"/>
            <w:right w:val="none" w:sz="0" w:space="0" w:color="auto"/>
          </w:divBdr>
        </w:div>
        <w:div w:id="434056991">
          <w:marLeft w:val="0"/>
          <w:marRight w:val="0"/>
          <w:marTop w:val="0"/>
          <w:marBottom w:val="0"/>
          <w:divBdr>
            <w:top w:val="none" w:sz="0" w:space="0" w:color="auto"/>
            <w:left w:val="none" w:sz="0" w:space="0" w:color="auto"/>
            <w:bottom w:val="none" w:sz="0" w:space="0" w:color="auto"/>
            <w:right w:val="none" w:sz="0" w:space="0" w:color="auto"/>
          </w:divBdr>
        </w:div>
        <w:div w:id="1199315245">
          <w:marLeft w:val="0"/>
          <w:marRight w:val="0"/>
          <w:marTop w:val="0"/>
          <w:marBottom w:val="0"/>
          <w:divBdr>
            <w:top w:val="none" w:sz="0" w:space="0" w:color="auto"/>
            <w:left w:val="none" w:sz="0" w:space="0" w:color="auto"/>
            <w:bottom w:val="none" w:sz="0" w:space="0" w:color="auto"/>
            <w:right w:val="none" w:sz="0" w:space="0" w:color="auto"/>
          </w:divBdr>
        </w:div>
        <w:div w:id="1416780416">
          <w:marLeft w:val="0"/>
          <w:marRight w:val="0"/>
          <w:marTop w:val="0"/>
          <w:marBottom w:val="0"/>
          <w:divBdr>
            <w:top w:val="none" w:sz="0" w:space="0" w:color="auto"/>
            <w:left w:val="none" w:sz="0" w:space="0" w:color="auto"/>
            <w:bottom w:val="none" w:sz="0" w:space="0" w:color="auto"/>
            <w:right w:val="none" w:sz="0" w:space="0" w:color="auto"/>
          </w:divBdr>
        </w:div>
        <w:div w:id="2017733492">
          <w:marLeft w:val="0"/>
          <w:marRight w:val="0"/>
          <w:marTop w:val="0"/>
          <w:marBottom w:val="0"/>
          <w:divBdr>
            <w:top w:val="none" w:sz="0" w:space="0" w:color="auto"/>
            <w:left w:val="none" w:sz="0" w:space="0" w:color="auto"/>
            <w:bottom w:val="none" w:sz="0" w:space="0" w:color="auto"/>
            <w:right w:val="none" w:sz="0" w:space="0" w:color="auto"/>
          </w:divBdr>
        </w:div>
        <w:div w:id="601107010">
          <w:marLeft w:val="0"/>
          <w:marRight w:val="0"/>
          <w:marTop w:val="0"/>
          <w:marBottom w:val="0"/>
          <w:divBdr>
            <w:top w:val="none" w:sz="0" w:space="0" w:color="auto"/>
            <w:left w:val="none" w:sz="0" w:space="0" w:color="auto"/>
            <w:bottom w:val="none" w:sz="0" w:space="0" w:color="auto"/>
            <w:right w:val="none" w:sz="0" w:space="0" w:color="auto"/>
          </w:divBdr>
        </w:div>
        <w:div w:id="723287017">
          <w:marLeft w:val="0"/>
          <w:marRight w:val="0"/>
          <w:marTop w:val="0"/>
          <w:marBottom w:val="0"/>
          <w:divBdr>
            <w:top w:val="none" w:sz="0" w:space="0" w:color="auto"/>
            <w:left w:val="none" w:sz="0" w:space="0" w:color="auto"/>
            <w:bottom w:val="none" w:sz="0" w:space="0" w:color="auto"/>
            <w:right w:val="none" w:sz="0" w:space="0" w:color="auto"/>
          </w:divBdr>
        </w:div>
        <w:div w:id="1023555527">
          <w:marLeft w:val="0"/>
          <w:marRight w:val="0"/>
          <w:marTop w:val="0"/>
          <w:marBottom w:val="0"/>
          <w:divBdr>
            <w:top w:val="none" w:sz="0" w:space="0" w:color="auto"/>
            <w:left w:val="none" w:sz="0" w:space="0" w:color="auto"/>
            <w:bottom w:val="none" w:sz="0" w:space="0" w:color="auto"/>
            <w:right w:val="none" w:sz="0" w:space="0" w:color="auto"/>
          </w:divBdr>
        </w:div>
        <w:div w:id="1390496871">
          <w:marLeft w:val="0"/>
          <w:marRight w:val="0"/>
          <w:marTop w:val="0"/>
          <w:marBottom w:val="0"/>
          <w:divBdr>
            <w:top w:val="none" w:sz="0" w:space="0" w:color="auto"/>
            <w:left w:val="none" w:sz="0" w:space="0" w:color="auto"/>
            <w:bottom w:val="none" w:sz="0" w:space="0" w:color="auto"/>
            <w:right w:val="none" w:sz="0" w:space="0" w:color="auto"/>
          </w:divBdr>
        </w:div>
        <w:div w:id="928536360">
          <w:marLeft w:val="0"/>
          <w:marRight w:val="0"/>
          <w:marTop w:val="0"/>
          <w:marBottom w:val="0"/>
          <w:divBdr>
            <w:top w:val="none" w:sz="0" w:space="0" w:color="auto"/>
            <w:left w:val="none" w:sz="0" w:space="0" w:color="auto"/>
            <w:bottom w:val="none" w:sz="0" w:space="0" w:color="auto"/>
            <w:right w:val="none" w:sz="0" w:space="0" w:color="auto"/>
          </w:divBdr>
        </w:div>
        <w:div w:id="828793736">
          <w:marLeft w:val="0"/>
          <w:marRight w:val="0"/>
          <w:marTop w:val="0"/>
          <w:marBottom w:val="0"/>
          <w:divBdr>
            <w:top w:val="none" w:sz="0" w:space="0" w:color="auto"/>
            <w:left w:val="none" w:sz="0" w:space="0" w:color="auto"/>
            <w:bottom w:val="none" w:sz="0" w:space="0" w:color="auto"/>
            <w:right w:val="none" w:sz="0" w:space="0" w:color="auto"/>
          </w:divBdr>
        </w:div>
        <w:div w:id="2036928058">
          <w:marLeft w:val="0"/>
          <w:marRight w:val="0"/>
          <w:marTop w:val="0"/>
          <w:marBottom w:val="0"/>
          <w:divBdr>
            <w:top w:val="none" w:sz="0" w:space="0" w:color="auto"/>
            <w:left w:val="none" w:sz="0" w:space="0" w:color="auto"/>
            <w:bottom w:val="none" w:sz="0" w:space="0" w:color="auto"/>
            <w:right w:val="none" w:sz="0" w:space="0" w:color="auto"/>
          </w:divBdr>
        </w:div>
        <w:div w:id="1710643211">
          <w:marLeft w:val="0"/>
          <w:marRight w:val="0"/>
          <w:marTop w:val="0"/>
          <w:marBottom w:val="0"/>
          <w:divBdr>
            <w:top w:val="none" w:sz="0" w:space="0" w:color="auto"/>
            <w:left w:val="none" w:sz="0" w:space="0" w:color="auto"/>
            <w:bottom w:val="none" w:sz="0" w:space="0" w:color="auto"/>
            <w:right w:val="none" w:sz="0" w:space="0" w:color="auto"/>
          </w:divBdr>
        </w:div>
        <w:div w:id="1189904150">
          <w:marLeft w:val="0"/>
          <w:marRight w:val="0"/>
          <w:marTop w:val="0"/>
          <w:marBottom w:val="0"/>
          <w:divBdr>
            <w:top w:val="none" w:sz="0" w:space="0" w:color="auto"/>
            <w:left w:val="none" w:sz="0" w:space="0" w:color="auto"/>
            <w:bottom w:val="none" w:sz="0" w:space="0" w:color="auto"/>
            <w:right w:val="none" w:sz="0" w:space="0" w:color="auto"/>
          </w:divBdr>
        </w:div>
        <w:div w:id="190463378">
          <w:marLeft w:val="0"/>
          <w:marRight w:val="0"/>
          <w:marTop w:val="0"/>
          <w:marBottom w:val="0"/>
          <w:divBdr>
            <w:top w:val="none" w:sz="0" w:space="0" w:color="auto"/>
            <w:left w:val="none" w:sz="0" w:space="0" w:color="auto"/>
            <w:bottom w:val="none" w:sz="0" w:space="0" w:color="auto"/>
            <w:right w:val="none" w:sz="0" w:space="0" w:color="auto"/>
          </w:divBdr>
        </w:div>
        <w:div w:id="402147296">
          <w:marLeft w:val="0"/>
          <w:marRight w:val="0"/>
          <w:marTop w:val="0"/>
          <w:marBottom w:val="0"/>
          <w:divBdr>
            <w:top w:val="none" w:sz="0" w:space="0" w:color="auto"/>
            <w:left w:val="none" w:sz="0" w:space="0" w:color="auto"/>
            <w:bottom w:val="none" w:sz="0" w:space="0" w:color="auto"/>
            <w:right w:val="none" w:sz="0" w:space="0" w:color="auto"/>
          </w:divBdr>
        </w:div>
        <w:div w:id="1725985872">
          <w:marLeft w:val="0"/>
          <w:marRight w:val="0"/>
          <w:marTop w:val="0"/>
          <w:marBottom w:val="0"/>
          <w:divBdr>
            <w:top w:val="none" w:sz="0" w:space="0" w:color="auto"/>
            <w:left w:val="none" w:sz="0" w:space="0" w:color="auto"/>
            <w:bottom w:val="none" w:sz="0" w:space="0" w:color="auto"/>
            <w:right w:val="none" w:sz="0" w:space="0" w:color="auto"/>
          </w:divBdr>
        </w:div>
        <w:div w:id="960651955">
          <w:marLeft w:val="0"/>
          <w:marRight w:val="0"/>
          <w:marTop w:val="0"/>
          <w:marBottom w:val="0"/>
          <w:divBdr>
            <w:top w:val="none" w:sz="0" w:space="0" w:color="auto"/>
            <w:left w:val="none" w:sz="0" w:space="0" w:color="auto"/>
            <w:bottom w:val="none" w:sz="0" w:space="0" w:color="auto"/>
            <w:right w:val="none" w:sz="0" w:space="0" w:color="auto"/>
          </w:divBdr>
        </w:div>
        <w:div w:id="33384815">
          <w:marLeft w:val="0"/>
          <w:marRight w:val="0"/>
          <w:marTop w:val="0"/>
          <w:marBottom w:val="0"/>
          <w:divBdr>
            <w:top w:val="none" w:sz="0" w:space="0" w:color="auto"/>
            <w:left w:val="none" w:sz="0" w:space="0" w:color="auto"/>
            <w:bottom w:val="none" w:sz="0" w:space="0" w:color="auto"/>
            <w:right w:val="none" w:sz="0" w:space="0" w:color="auto"/>
          </w:divBdr>
        </w:div>
        <w:div w:id="1797335794">
          <w:marLeft w:val="0"/>
          <w:marRight w:val="0"/>
          <w:marTop w:val="0"/>
          <w:marBottom w:val="0"/>
          <w:divBdr>
            <w:top w:val="none" w:sz="0" w:space="0" w:color="auto"/>
            <w:left w:val="none" w:sz="0" w:space="0" w:color="auto"/>
            <w:bottom w:val="none" w:sz="0" w:space="0" w:color="auto"/>
            <w:right w:val="none" w:sz="0" w:space="0" w:color="auto"/>
          </w:divBdr>
        </w:div>
        <w:div w:id="419185519">
          <w:marLeft w:val="0"/>
          <w:marRight w:val="0"/>
          <w:marTop w:val="0"/>
          <w:marBottom w:val="0"/>
          <w:divBdr>
            <w:top w:val="none" w:sz="0" w:space="0" w:color="auto"/>
            <w:left w:val="none" w:sz="0" w:space="0" w:color="auto"/>
            <w:bottom w:val="none" w:sz="0" w:space="0" w:color="auto"/>
            <w:right w:val="none" w:sz="0" w:space="0" w:color="auto"/>
          </w:divBdr>
        </w:div>
        <w:div w:id="537478105">
          <w:marLeft w:val="0"/>
          <w:marRight w:val="0"/>
          <w:marTop w:val="0"/>
          <w:marBottom w:val="0"/>
          <w:divBdr>
            <w:top w:val="none" w:sz="0" w:space="0" w:color="auto"/>
            <w:left w:val="none" w:sz="0" w:space="0" w:color="auto"/>
            <w:bottom w:val="none" w:sz="0" w:space="0" w:color="auto"/>
            <w:right w:val="none" w:sz="0" w:space="0" w:color="auto"/>
          </w:divBdr>
        </w:div>
        <w:div w:id="1755467292">
          <w:marLeft w:val="0"/>
          <w:marRight w:val="0"/>
          <w:marTop w:val="0"/>
          <w:marBottom w:val="0"/>
          <w:divBdr>
            <w:top w:val="none" w:sz="0" w:space="0" w:color="auto"/>
            <w:left w:val="none" w:sz="0" w:space="0" w:color="auto"/>
            <w:bottom w:val="none" w:sz="0" w:space="0" w:color="auto"/>
            <w:right w:val="none" w:sz="0" w:space="0" w:color="auto"/>
          </w:divBdr>
        </w:div>
        <w:div w:id="857818321">
          <w:marLeft w:val="0"/>
          <w:marRight w:val="0"/>
          <w:marTop w:val="0"/>
          <w:marBottom w:val="0"/>
          <w:divBdr>
            <w:top w:val="none" w:sz="0" w:space="0" w:color="auto"/>
            <w:left w:val="none" w:sz="0" w:space="0" w:color="auto"/>
            <w:bottom w:val="none" w:sz="0" w:space="0" w:color="auto"/>
            <w:right w:val="none" w:sz="0" w:space="0" w:color="auto"/>
          </w:divBdr>
        </w:div>
        <w:div w:id="498811434">
          <w:marLeft w:val="0"/>
          <w:marRight w:val="0"/>
          <w:marTop w:val="0"/>
          <w:marBottom w:val="0"/>
          <w:divBdr>
            <w:top w:val="none" w:sz="0" w:space="0" w:color="auto"/>
            <w:left w:val="none" w:sz="0" w:space="0" w:color="auto"/>
            <w:bottom w:val="none" w:sz="0" w:space="0" w:color="auto"/>
            <w:right w:val="none" w:sz="0" w:space="0" w:color="auto"/>
          </w:divBdr>
        </w:div>
        <w:div w:id="1826239149">
          <w:marLeft w:val="0"/>
          <w:marRight w:val="0"/>
          <w:marTop w:val="0"/>
          <w:marBottom w:val="0"/>
          <w:divBdr>
            <w:top w:val="none" w:sz="0" w:space="0" w:color="auto"/>
            <w:left w:val="none" w:sz="0" w:space="0" w:color="auto"/>
            <w:bottom w:val="none" w:sz="0" w:space="0" w:color="auto"/>
            <w:right w:val="none" w:sz="0" w:space="0" w:color="auto"/>
          </w:divBdr>
        </w:div>
        <w:div w:id="523785013">
          <w:marLeft w:val="0"/>
          <w:marRight w:val="0"/>
          <w:marTop w:val="0"/>
          <w:marBottom w:val="0"/>
          <w:divBdr>
            <w:top w:val="none" w:sz="0" w:space="0" w:color="auto"/>
            <w:left w:val="none" w:sz="0" w:space="0" w:color="auto"/>
            <w:bottom w:val="none" w:sz="0" w:space="0" w:color="auto"/>
            <w:right w:val="none" w:sz="0" w:space="0" w:color="auto"/>
          </w:divBdr>
        </w:div>
        <w:div w:id="1225019301">
          <w:marLeft w:val="0"/>
          <w:marRight w:val="0"/>
          <w:marTop w:val="0"/>
          <w:marBottom w:val="0"/>
          <w:divBdr>
            <w:top w:val="none" w:sz="0" w:space="0" w:color="auto"/>
            <w:left w:val="none" w:sz="0" w:space="0" w:color="auto"/>
            <w:bottom w:val="none" w:sz="0" w:space="0" w:color="auto"/>
            <w:right w:val="none" w:sz="0" w:space="0" w:color="auto"/>
          </w:divBdr>
        </w:div>
        <w:div w:id="317344601">
          <w:marLeft w:val="0"/>
          <w:marRight w:val="0"/>
          <w:marTop w:val="0"/>
          <w:marBottom w:val="0"/>
          <w:divBdr>
            <w:top w:val="none" w:sz="0" w:space="0" w:color="auto"/>
            <w:left w:val="none" w:sz="0" w:space="0" w:color="auto"/>
            <w:bottom w:val="none" w:sz="0" w:space="0" w:color="auto"/>
            <w:right w:val="none" w:sz="0" w:space="0" w:color="auto"/>
          </w:divBdr>
        </w:div>
        <w:div w:id="986856478">
          <w:marLeft w:val="0"/>
          <w:marRight w:val="0"/>
          <w:marTop w:val="0"/>
          <w:marBottom w:val="0"/>
          <w:divBdr>
            <w:top w:val="none" w:sz="0" w:space="0" w:color="auto"/>
            <w:left w:val="none" w:sz="0" w:space="0" w:color="auto"/>
            <w:bottom w:val="none" w:sz="0" w:space="0" w:color="auto"/>
            <w:right w:val="none" w:sz="0" w:space="0" w:color="auto"/>
          </w:divBdr>
        </w:div>
        <w:div w:id="1696614267">
          <w:marLeft w:val="0"/>
          <w:marRight w:val="0"/>
          <w:marTop w:val="0"/>
          <w:marBottom w:val="0"/>
          <w:divBdr>
            <w:top w:val="none" w:sz="0" w:space="0" w:color="auto"/>
            <w:left w:val="none" w:sz="0" w:space="0" w:color="auto"/>
            <w:bottom w:val="none" w:sz="0" w:space="0" w:color="auto"/>
            <w:right w:val="none" w:sz="0" w:space="0" w:color="auto"/>
          </w:divBdr>
        </w:div>
        <w:div w:id="1194462985">
          <w:marLeft w:val="0"/>
          <w:marRight w:val="0"/>
          <w:marTop w:val="0"/>
          <w:marBottom w:val="0"/>
          <w:divBdr>
            <w:top w:val="none" w:sz="0" w:space="0" w:color="auto"/>
            <w:left w:val="none" w:sz="0" w:space="0" w:color="auto"/>
            <w:bottom w:val="none" w:sz="0" w:space="0" w:color="auto"/>
            <w:right w:val="none" w:sz="0" w:space="0" w:color="auto"/>
          </w:divBdr>
        </w:div>
        <w:div w:id="1563560895">
          <w:marLeft w:val="0"/>
          <w:marRight w:val="0"/>
          <w:marTop w:val="0"/>
          <w:marBottom w:val="0"/>
          <w:divBdr>
            <w:top w:val="none" w:sz="0" w:space="0" w:color="auto"/>
            <w:left w:val="none" w:sz="0" w:space="0" w:color="auto"/>
            <w:bottom w:val="none" w:sz="0" w:space="0" w:color="auto"/>
            <w:right w:val="none" w:sz="0" w:space="0" w:color="auto"/>
          </w:divBdr>
        </w:div>
        <w:div w:id="979189733">
          <w:marLeft w:val="0"/>
          <w:marRight w:val="0"/>
          <w:marTop w:val="0"/>
          <w:marBottom w:val="0"/>
          <w:divBdr>
            <w:top w:val="none" w:sz="0" w:space="0" w:color="auto"/>
            <w:left w:val="none" w:sz="0" w:space="0" w:color="auto"/>
            <w:bottom w:val="none" w:sz="0" w:space="0" w:color="auto"/>
            <w:right w:val="none" w:sz="0" w:space="0" w:color="auto"/>
          </w:divBdr>
        </w:div>
        <w:div w:id="1473984815">
          <w:marLeft w:val="0"/>
          <w:marRight w:val="0"/>
          <w:marTop w:val="0"/>
          <w:marBottom w:val="0"/>
          <w:divBdr>
            <w:top w:val="none" w:sz="0" w:space="0" w:color="auto"/>
            <w:left w:val="none" w:sz="0" w:space="0" w:color="auto"/>
            <w:bottom w:val="none" w:sz="0" w:space="0" w:color="auto"/>
            <w:right w:val="none" w:sz="0" w:space="0" w:color="auto"/>
          </w:divBdr>
        </w:div>
        <w:div w:id="1247424233">
          <w:marLeft w:val="0"/>
          <w:marRight w:val="0"/>
          <w:marTop w:val="0"/>
          <w:marBottom w:val="0"/>
          <w:divBdr>
            <w:top w:val="none" w:sz="0" w:space="0" w:color="auto"/>
            <w:left w:val="none" w:sz="0" w:space="0" w:color="auto"/>
            <w:bottom w:val="none" w:sz="0" w:space="0" w:color="auto"/>
            <w:right w:val="none" w:sz="0" w:space="0" w:color="auto"/>
          </w:divBdr>
        </w:div>
        <w:div w:id="612060453">
          <w:marLeft w:val="0"/>
          <w:marRight w:val="0"/>
          <w:marTop w:val="0"/>
          <w:marBottom w:val="0"/>
          <w:divBdr>
            <w:top w:val="none" w:sz="0" w:space="0" w:color="auto"/>
            <w:left w:val="none" w:sz="0" w:space="0" w:color="auto"/>
            <w:bottom w:val="none" w:sz="0" w:space="0" w:color="auto"/>
            <w:right w:val="none" w:sz="0" w:space="0" w:color="auto"/>
          </w:divBdr>
        </w:div>
        <w:div w:id="895093888">
          <w:marLeft w:val="0"/>
          <w:marRight w:val="0"/>
          <w:marTop w:val="0"/>
          <w:marBottom w:val="0"/>
          <w:divBdr>
            <w:top w:val="none" w:sz="0" w:space="0" w:color="auto"/>
            <w:left w:val="none" w:sz="0" w:space="0" w:color="auto"/>
            <w:bottom w:val="none" w:sz="0" w:space="0" w:color="auto"/>
            <w:right w:val="none" w:sz="0" w:space="0" w:color="auto"/>
          </w:divBdr>
        </w:div>
        <w:div w:id="542835927">
          <w:marLeft w:val="0"/>
          <w:marRight w:val="0"/>
          <w:marTop w:val="0"/>
          <w:marBottom w:val="0"/>
          <w:divBdr>
            <w:top w:val="none" w:sz="0" w:space="0" w:color="auto"/>
            <w:left w:val="none" w:sz="0" w:space="0" w:color="auto"/>
            <w:bottom w:val="none" w:sz="0" w:space="0" w:color="auto"/>
            <w:right w:val="none" w:sz="0" w:space="0" w:color="auto"/>
          </w:divBdr>
        </w:div>
        <w:div w:id="836073474">
          <w:marLeft w:val="0"/>
          <w:marRight w:val="0"/>
          <w:marTop w:val="0"/>
          <w:marBottom w:val="0"/>
          <w:divBdr>
            <w:top w:val="none" w:sz="0" w:space="0" w:color="auto"/>
            <w:left w:val="none" w:sz="0" w:space="0" w:color="auto"/>
            <w:bottom w:val="none" w:sz="0" w:space="0" w:color="auto"/>
            <w:right w:val="none" w:sz="0" w:space="0" w:color="auto"/>
          </w:divBdr>
        </w:div>
        <w:div w:id="591864510">
          <w:marLeft w:val="0"/>
          <w:marRight w:val="0"/>
          <w:marTop w:val="0"/>
          <w:marBottom w:val="0"/>
          <w:divBdr>
            <w:top w:val="none" w:sz="0" w:space="0" w:color="auto"/>
            <w:left w:val="none" w:sz="0" w:space="0" w:color="auto"/>
            <w:bottom w:val="none" w:sz="0" w:space="0" w:color="auto"/>
            <w:right w:val="none" w:sz="0" w:space="0" w:color="auto"/>
          </w:divBdr>
        </w:div>
        <w:div w:id="2006086729">
          <w:marLeft w:val="0"/>
          <w:marRight w:val="0"/>
          <w:marTop w:val="0"/>
          <w:marBottom w:val="0"/>
          <w:divBdr>
            <w:top w:val="none" w:sz="0" w:space="0" w:color="auto"/>
            <w:left w:val="none" w:sz="0" w:space="0" w:color="auto"/>
            <w:bottom w:val="none" w:sz="0" w:space="0" w:color="auto"/>
            <w:right w:val="none" w:sz="0" w:space="0" w:color="auto"/>
          </w:divBdr>
        </w:div>
        <w:div w:id="1177767985">
          <w:marLeft w:val="0"/>
          <w:marRight w:val="0"/>
          <w:marTop w:val="0"/>
          <w:marBottom w:val="0"/>
          <w:divBdr>
            <w:top w:val="none" w:sz="0" w:space="0" w:color="auto"/>
            <w:left w:val="none" w:sz="0" w:space="0" w:color="auto"/>
            <w:bottom w:val="none" w:sz="0" w:space="0" w:color="auto"/>
            <w:right w:val="none" w:sz="0" w:space="0" w:color="auto"/>
          </w:divBdr>
        </w:div>
        <w:div w:id="443614711">
          <w:marLeft w:val="0"/>
          <w:marRight w:val="0"/>
          <w:marTop w:val="0"/>
          <w:marBottom w:val="0"/>
          <w:divBdr>
            <w:top w:val="none" w:sz="0" w:space="0" w:color="auto"/>
            <w:left w:val="none" w:sz="0" w:space="0" w:color="auto"/>
            <w:bottom w:val="none" w:sz="0" w:space="0" w:color="auto"/>
            <w:right w:val="none" w:sz="0" w:space="0" w:color="auto"/>
          </w:divBdr>
        </w:div>
        <w:div w:id="1398091534">
          <w:marLeft w:val="0"/>
          <w:marRight w:val="0"/>
          <w:marTop w:val="0"/>
          <w:marBottom w:val="0"/>
          <w:divBdr>
            <w:top w:val="none" w:sz="0" w:space="0" w:color="auto"/>
            <w:left w:val="none" w:sz="0" w:space="0" w:color="auto"/>
            <w:bottom w:val="none" w:sz="0" w:space="0" w:color="auto"/>
            <w:right w:val="none" w:sz="0" w:space="0" w:color="auto"/>
          </w:divBdr>
        </w:div>
        <w:div w:id="1191257006">
          <w:marLeft w:val="0"/>
          <w:marRight w:val="0"/>
          <w:marTop w:val="0"/>
          <w:marBottom w:val="0"/>
          <w:divBdr>
            <w:top w:val="none" w:sz="0" w:space="0" w:color="auto"/>
            <w:left w:val="none" w:sz="0" w:space="0" w:color="auto"/>
            <w:bottom w:val="none" w:sz="0" w:space="0" w:color="auto"/>
            <w:right w:val="none" w:sz="0" w:space="0" w:color="auto"/>
          </w:divBdr>
        </w:div>
        <w:div w:id="1779254348">
          <w:marLeft w:val="0"/>
          <w:marRight w:val="0"/>
          <w:marTop w:val="0"/>
          <w:marBottom w:val="0"/>
          <w:divBdr>
            <w:top w:val="none" w:sz="0" w:space="0" w:color="auto"/>
            <w:left w:val="none" w:sz="0" w:space="0" w:color="auto"/>
            <w:bottom w:val="none" w:sz="0" w:space="0" w:color="auto"/>
            <w:right w:val="none" w:sz="0" w:space="0" w:color="auto"/>
          </w:divBdr>
        </w:div>
        <w:div w:id="724108301">
          <w:marLeft w:val="0"/>
          <w:marRight w:val="0"/>
          <w:marTop w:val="0"/>
          <w:marBottom w:val="0"/>
          <w:divBdr>
            <w:top w:val="none" w:sz="0" w:space="0" w:color="auto"/>
            <w:left w:val="none" w:sz="0" w:space="0" w:color="auto"/>
            <w:bottom w:val="none" w:sz="0" w:space="0" w:color="auto"/>
            <w:right w:val="none" w:sz="0" w:space="0" w:color="auto"/>
          </w:divBdr>
        </w:div>
        <w:div w:id="1681349521">
          <w:marLeft w:val="0"/>
          <w:marRight w:val="0"/>
          <w:marTop w:val="0"/>
          <w:marBottom w:val="0"/>
          <w:divBdr>
            <w:top w:val="none" w:sz="0" w:space="0" w:color="auto"/>
            <w:left w:val="none" w:sz="0" w:space="0" w:color="auto"/>
            <w:bottom w:val="none" w:sz="0" w:space="0" w:color="auto"/>
            <w:right w:val="none" w:sz="0" w:space="0" w:color="auto"/>
          </w:divBdr>
        </w:div>
        <w:div w:id="1851218400">
          <w:marLeft w:val="0"/>
          <w:marRight w:val="0"/>
          <w:marTop w:val="0"/>
          <w:marBottom w:val="0"/>
          <w:divBdr>
            <w:top w:val="none" w:sz="0" w:space="0" w:color="auto"/>
            <w:left w:val="none" w:sz="0" w:space="0" w:color="auto"/>
            <w:bottom w:val="none" w:sz="0" w:space="0" w:color="auto"/>
            <w:right w:val="none" w:sz="0" w:space="0" w:color="auto"/>
          </w:divBdr>
        </w:div>
        <w:div w:id="4090788">
          <w:marLeft w:val="0"/>
          <w:marRight w:val="0"/>
          <w:marTop w:val="0"/>
          <w:marBottom w:val="0"/>
          <w:divBdr>
            <w:top w:val="none" w:sz="0" w:space="0" w:color="auto"/>
            <w:left w:val="none" w:sz="0" w:space="0" w:color="auto"/>
            <w:bottom w:val="none" w:sz="0" w:space="0" w:color="auto"/>
            <w:right w:val="none" w:sz="0" w:space="0" w:color="auto"/>
          </w:divBdr>
        </w:div>
        <w:div w:id="754088930">
          <w:marLeft w:val="0"/>
          <w:marRight w:val="0"/>
          <w:marTop w:val="0"/>
          <w:marBottom w:val="0"/>
          <w:divBdr>
            <w:top w:val="none" w:sz="0" w:space="0" w:color="auto"/>
            <w:left w:val="none" w:sz="0" w:space="0" w:color="auto"/>
            <w:bottom w:val="none" w:sz="0" w:space="0" w:color="auto"/>
            <w:right w:val="none" w:sz="0" w:space="0" w:color="auto"/>
          </w:divBdr>
        </w:div>
        <w:div w:id="759763309">
          <w:marLeft w:val="0"/>
          <w:marRight w:val="0"/>
          <w:marTop w:val="0"/>
          <w:marBottom w:val="0"/>
          <w:divBdr>
            <w:top w:val="none" w:sz="0" w:space="0" w:color="auto"/>
            <w:left w:val="none" w:sz="0" w:space="0" w:color="auto"/>
            <w:bottom w:val="none" w:sz="0" w:space="0" w:color="auto"/>
            <w:right w:val="none" w:sz="0" w:space="0" w:color="auto"/>
          </w:divBdr>
        </w:div>
        <w:div w:id="505094037">
          <w:marLeft w:val="0"/>
          <w:marRight w:val="0"/>
          <w:marTop w:val="0"/>
          <w:marBottom w:val="0"/>
          <w:divBdr>
            <w:top w:val="none" w:sz="0" w:space="0" w:color="auto"/>
            <w:left w:val="none" w:sz="0" w:space="0" w:color="auto"/>
            <w:bottom w:val="none" w:sz="0" w:space="0" w:color="auto"/>
            <w:right w:val="none" w:sz="0" w:space="0" w:color="auto"/>
          </w:divBdr>
        </w:div>
        <w:div w:id="812260706">
          <w:marLeft w:val="0"/>
          <w:marRight w:val="0"/>
          <w:marTop w:val="0"/>
          <w:marBottom w:val="0"/>
          <w:divBdr>
            <w:top w:val="none" w:sz="0" w:space="0" w:color="auto"/>
            <w:left w:val="none" w:sz="0" w:space="0" w:color="auto"/>
            <w:bottom w:val="none" w:sz="0" w:space="0" w:color="auto"/>
            <w:right w:val="none" w:sz="0" w:space="0" w:color="auto"/>
          </w:divBdr>
        </w:div>
        <w:div w:id="1072701680">
          <w:marLeft w:val="0"/>
          <w:marRight w:val="0"/>
          <w:marTop w:val="0"/>
          <w:marBottom w:val="0"/>
          <w:divBdr>
            <w:top w:val="none" w:sz="0" w:space="0" w:color="auto"/>
            <w:left w:val="none" w:sz="0" w:space="0" w:color="auto"/>
            <w:bottom w:val="none" w:sz="0" w:space="0" w:color="auto"/>
            <w:right w:val="none" w:sz="0" w:space="0" w:color="auto"/>
          </w:divBdr>
        </w:div>
        <w:div w:id="437528758">
          <w:marLeft w:val="0"/>
          <w:marRight w:val="0"/>
          <w:marTop w:val="0"/>
          <w:marBottom w:val="0"/>
          <w:divBdr>
            <w:top w:val="none" w:sz="0" w:space="0" w:color="auto"/>
            <w:left w:val="none" w:sz="0" w:space="0" w:color="auto"/>
            <w:bottom w:val="none" w:sz="0" w:space="0" w:color="auto"/>
            <w:right w:val="none" w:sz="0" w:space="0" w:color="auto"/>
          </w:divBdr>
        </w:div>
        <w:div w:id="1758860821">
          <w:marLeft w:val="0"/>
          <w:marRight w:val="0"/>
          <w:marTop w:val="0"/>
          <w:marBottom w:val="0"/>
          <w:divBdr>
            <w:top w:val="none" w:sz="0" w:space="0" w:color="auto"/>
            <w:left w:val="none" w:sz="0" w:space="0" w:color="auto"/>
            <w:bottom w:val="none" w:sz="0" w:space="0" w:color="auto"/>
            <w:right w:val="none" w:sz="0" w:space="0" w:color="auto"/>
          </w:divBdr>
        </w:div>
        <w:div w:id="1019237333">
          <w:marLeft w:val="0"/>
          <w:marRight w:val="0"/>
          <w:marTop w:val="0"/>
          <w:marBottom w:val="0"/>
          <w:divBdr>
            <w:top w:val="none" w:sz="0" w:space="0" w:color="auto"/>
            <w:left w:val="none" w:sz="0" w:space="0" w:color="auto"/>
            <w:bottom w:val="none" w:sz="0" w:space="0" w:color="auto"/>
            <w:right w:val="none" w:sz="0" w:space="0" w:color="auto"/>
          </w:divBdr>
        </w:div>
        <w:div w:id="1002509758">
          <w:marLeft w:val="0"/>
          <w:marRight w:val="0"/>
          <w:marTop w:val="0"/>
          <w:marBottom w:val="0"/>
          <w:divBdr>
            <w:top w:val="none" w:sz="0" w:space="0" w:color="auto"/>
            <w:left w:val="none" w:sz="0" w:space="0" w:color="auto"/>
            <w:bottom w:val="none" w:sz="0" w:space="0" w:color="auto"/>
            <w:right w:val="none" w:sz="0" w:space="0" w:color="auto"/>
          </w:divBdr>
        </w:div>
        <w:div w:id="628054362">
          <w:marLeft w:val="0"/>
          <w:marRight w:val="0"/>
          <w:marTop w:val="0"/>
          <w:marBottom w:val="0"/>
          <w:divBdr>
            <w:top w:val="none" w:sz="0" w:space="0" w:color="auto"/>
            <w:left w:val="none" w:sz="0" w:space="0" w:color="auto"/>
            <w:bottom w:val="none" w:sz="0" w:space="0" w:color="auto"/>
            <w:right w:val="none" w:sz="0" w:space="0" w:color="auto"/>
          </w:divBdr>
        </w:div>
        <w:div w:id="1785467387">
          <w:marLeft w:val="0"/>
          <w:marRight w:val="0"/>
          <w:marTop w:val="0"/>
          <w:marBottom w:val="0"/>
          <w:divBdr>
            <w:top w:val="none" w:sz="0" w:space="0" w:color="auto"/>
            <w:left w:val="none" w:sz="0" w:space="0" w:color="auto"/>
            <w:bottom w:val="none" w:sz="0" w:space="0" w:color="auto"/>
            <w:right w:val="none" w:sz="0" w:space="0" w:color="auto"/>
          </w:divBdr>
        </w:div>
        <w:div w:id="1421295908">
          <w:marLeft w:val="0"/>
          <w:marRight w:val="0"/>
          <w:marTop w:val="0"/>
          <w:marBottom w:val="0"/>
          <w:divBdr>
            <w:top w:val="none" w:sz="0" w:space="0" w:color="auto"/>
            <w:left w:val="none" w:sz="0" w:space="0" w:color="auto"/>
            <w:bottom w:val="none" w:sz="0" w:space="0" w:color="auto"/>
            <w:right w:val="none" w:sz="0" w:space="0" w:color="auto"/>
          </w:divBdr>
        </w:div>
        <w:div w:id="688290329">
          <w:marLeft w:val="0"/>
          <w:marRight w:val="0"/>
          <w:marTop w:val="0"/>
          <w:marBottom w:val="0"/>
          <w:divBdr>
            <w:top w:val="none" w:sz="0" w:space="0" w:color="auto"/>
            <w:left w:val="none" w:sz="0" w:space="0" w:color="auto"/>
            <w:bottom w:val="none" w:sz="0" w:space="0" w:color="auto"/>
            <w:right w:val="none" w:sz="0" w:space="0" w:color="auto"/>
          </w:divBdr>
        </w:div>
        <w:div w:id="1183319994">
          <w:marLeft w:val="0"/>
          <w:marRight w:val="0"/>
          <w:marTop w:val="0"/>
          <w:marBottom w:val="0"/>
          <w:divBdr>
            <w:top w:val="none" w:sz="0" w:space="0" w:color="auto"/>
            <w:left w:val="none" w:sz="0" w:space="0" w:color="auto"/>
            <w:bottom w:val="none" w:sz="0" w:space="0" w:color="auto"/>
            <w:right w:val="none" w:sz="0" w:space="0" w:color="auto"/>
          </w:divBdr>
        </w:div>
        <w:div w:id="1852181249">
          <w:marLeft w:val="0"/>
          <w:marRight w:val="0"/>
          <w:marTop w:val="0"/>
          <w:marBottom w:val="0"/>
          <w:divBdr>
            <w:top w:val="none" w:sz="0" w:space="0" w:color="auto"/>
            <w:left w:val="none" w:sz="0" w:space="0" w:color="auto"/>
            <w:bottom w:val="none" w:sz="0" w:space="0" w:color="auto"/>
            <w:right w:val="none" w:sz="0" w:space="0" w:color="auto"/>
          </w:divBdr>
        </w:div>
        <w:div w:id="810439060">
          <w:marLeft w:val="0"/>
          <w:marRight w:val="0"/>
          <w:marTop w:val="0"/>
          <w:marBottom w:val="0"/>
          <w:divBdr>
            <w:top w:val="none" w:sz="0" w:space="0" w:color="auto"/>
            <w:left w:val="none" w:sz="0" w:space="0" w:color="auto"/>
            <w:bottom w:val="none" w:sz="0" w:space="0" w:color="auto"/>
            <w:right w:val="none" w:sz="0" w:space="0" w:color="auto"/>
          </w:divBdr>
        </w:div>
        <w:div w:id="1140418502">
          <w:marLeft w:val="0"/>
          <w:marRight w:val="0"/>
          <w:marTop w:val="0"/>
          <w:marBottom w:val="0"/>
          <w:divBdr>
            <w:top w:val="none" w:sz="0" w:space="0" w:color="auto"/>
            <w:left w:val="none" w:sz="0" w:space="0" w:color="auto"/>
            <w:bottom w:val="none" w:sz="0" w:space="0" w:color="auto"/>
            <w:right w:val="none" w:sz="0" w:space="0" w:color="auto"/>
          </w:divBdr>
        </w:div>
        <w:div w:id="1114712713">
          <w:marLeft w:val="0"/>
          <w:marRight w:val="0"/>
          <w:marTop w:val="0"/>
          <w:marBottom w:val="0"/>
          <w:divBdr>
            <w:top w:val="none" w:sz="0" w:space="0" w:color="auto"/>
            <w:left w:val="none" w:sz="0" w:space="0" w:color="auto"/>
            <w:bottom w:val="none" w:sz="0" w:space="0" w:color="auto"/>
            <w:right w:val="none" w:sz="0" w:space="0" w:color="auto"/>
          </w:divBdr>
        </w:div>
        <w:div w:id="1555963424">
          <w:marLeft w:val="0"/>
          <w:marRight w:val="0"/>
          <w:marTop w:val="0"/>
          <w:marBottom w:val="0"/>
          <w:divBdr>
            <w:top w:val="none" w:sz="0" w:space="0" w:color="auto"/>
            <w:left w:val="none" w:sz="0" w:space="0" w:color="auto"/>
            <w:bottom w:val="none" w:sz="0" w:space="0" w:color="auto"/>
            <w:right w:val="none" w:sz="0" w:space="0" w:color="auto"/>
          </w:divBdr>
        </w:div>
        <w:div w:id="1041321067">
          <w:marLeft w:val="0"/>
          <w:marRight w:val="0"/>
          <w:marTop w:val="0"/>
          <w:marBottom w:val="0"/>
          <w:divBdr>
            <w:top w:val="none" w:sz="0" w:space="0" w:color="auto"/>
            <w:left w:val="none" w:sz="0" w:space="0" w:color="auto"/>
            <w:bottom w:val="none" w:sz="0" w:space="0" w:color="auto"/>
            <w:right w:val="none" w:sz="0" w:space="0" w:color="auto"/>
          </w:divBdr>
        </w:div>
        <w:div w:id="1189559816">
          <w:marLeft w:val="0"/>
          <w:marRight w:val="0"/>
          <w:marTop w:val="0"/>
          <w:marBottom w:val="0"/>
          <w:divBdr>
            <w:top w:val="none" w:sz="0" w:space="0" w:color="auto"/>
            <w:left w:val="none" w:sz="0" w:space="0" w:color="auto"/>
            <w:bottom w:val="none" w:sz="0" w:space="0" w:color="auto"/>
            <w:right w:val="none" w:sz="0" w:space="0" w:color="auto"/>
          </w:divBdr>
        </w:div>
        <w:div w:id="1229416442">
          <w:marLeft w:val="0"/>
          <w:marRight w:val="0"/>
          <w:marTop w:val="0"/>
          <w:marBottom w:val="0"/>
          <w:divBdr>
            <w:top w:val="none" w:sz="0" w:space="0" w:color="auto"/>
            <w:left w:val="none" w:sz="0" w:space="0" w:color="auto"/>
            <w:bottom w:val="none" w:sz="0" w:space="0" w:color="auto"/>
            <w:right w:val="none" w:sz="0" w:space="0" w:color="auto"/>
          </w:divBdr>
        </w:div>
        <w:div w:id="17245434">
          <w:marLeft w:val="0"/>
          <w:marRight w:val="0"/>
          <w:marTop w:val="0"/>
          <w:marBottom w:val="0"/>
          <w:divBdr>
            <w:top w:val="none" w:sz="0" w:space="0" w:color="auto"/>
            <w:left w:val="none" w:sz="0" w:space="0" w:color="auto"/>
            <w:bottom w:val="none" w:sz="0" w:space="0" w:color="auto"/>
            <w:right w:val="none" w:sz="0" w:space="0" w:color="auto"/>
          </w:divBdr>
        </w:div>
        <w:div w:id="440338407">
          <w:marLeft w:val="0"/>
          <w:marRight w:val="0"/>
          <w:marTop w:val="0"/>
          <w:marBottom w:val="0"/>
          <w:divBdr>
            <w:top w:val="none" w:sz="0" w:space="0" w:color="auto"/>
            <w:left w:val="none" w:sz="0" w:space="0" w:color="auto"/>
            <w:bottom w:val="none" w:sz="0" w:space="0" w:color="auto"/>
            <w:right w:val="none" w:sz="0" w:space="0" w:color="auto"/>
          </w:divBdr>
        </w:div>
        <w:div w:id="832379327">
          <w:marLeft w:val="0"/>
          <w:marRight w:val="0"/>
          <w:marTop w:val="0"/>
          <w:marBottom w:val="0"/>
          <w:divBdr>
            <w:top w:val="none" w:sz="0" w:space="0" w:color="auto"/>
            <w:left w:val="none" w:sz="0" w:space="0" w:color="auto"/>
            <w:bottom w:val="none" w:sz="0" w:space="0" w:color="auto"/>
            <w:right w:val="none" w:sz="0" w:space="0" w:color="auto"/>
          </w:divBdr>
        </w:div>
        <w:div w:id="1144784086">
          <w:marLeft w:val="0"/>
          <w:marRight w:val="0"/>
          <w:marTop w:val="0"/>
          <w:marBottom w:val="0"/>
          <w:divBdr>
            <w:top w:val="none" w:sz="0" w:space="0" w:color="auto"/>
            <w:left w:val="none" w:sz="0" w:space="0" w:color="auto"/>
            <w:bottom w:val="none" w:sz="0" w:space="0" w:color="auto"/>
            <w:right w:val="none" w:sz="0" w:space="0" w:color="auto"/>
          </w:divBdr>
        </w:div>
        <w:div w:id="2093313786">
          <w:marLeft w:val="0"/>
          <w:marRight w:val="0"/>
          <w:marTop w:val="0"/>
          <w:marBottom w:val="0"/>
          <w:divBdr>
            <w:top w:val="none" w:sz="0" w:space="0" w:color="auto"/>
            <w:left w:val="none" w:sz="0" w:space="0" w:color="auto"/>
            <w:bottom w:val="none" w:sz="0" w:space="0" w:color="auto"/>
            <w:right w:val="none" w:sz="0" w:space="0" w:color="auto"/>
          </w:divBdr>
        </w:div>
        <w:div w:id="377317255">
          <w:marLeft w:val="0"/>
          <w:marRight w:val="0"/>
          <w:marTop w:val="0"/>
          <w:marBottom w:val="0"/>
          <w:divBdr>
            <w:top w:val="none" w:sz="0" w:space="0" w:color="auto"/>
            <w:left w:val="none" w:sz="0" w:space="0" w:color="auto"/>
            <w:bottom w:val="none" w:sz="0" w:space="0" w:color="auto"/>
            <w:right w:val="none" w:sz="0" w:space="0" w:color="auto"/>
          </w:divBdr>
        </w:div>
        <w:div w:id="1304967956">
          <w:marLeft w:val="0"/>
          <w:marRight w:val="0"/>
          <w:marTop w:val="0"/>
          <w:marBottom w:val="0"/>
          <w:divBdr>
            <w:top w:val="none" w:sz="0" w:space="0" w:color="auto"/>
            <w:left w:val="none" w:sz="0" w:space="0" w:color="auto"/>
            <w:bottom w:val="none" w:sz="0" w:space="0" w:color="auto"/>
            <w:right w:val="none" w:sz="0" w:space="0" w:color="auto"/>
          </w:divBdr>
        </w:div>
        <w:div w:id="71893362">
          <w:marLeft w:val="0"/>
          <w:marRight w:val="0"/>
          <w:marTop w:val="0"/>
          <w:marBottom w:val="0"/>
          <w:divBdr>
            <w:top w:val="none" w:sz="0" w:space="0" w:color="auto"/>
            <w:left w:val="none" w:sz="0" w:space="0" w:color="auto"/>
            <w:bottom w:val="none" w:sz="0" w:space="0" w:color="auto"/>
            <w:right w:val="none" w:sz="0" w:space="0" w:color="auto"/>
          </w:divBdr>
        </w:div>
        <w:div w:id="55670211">
          <w:marLeft w:val="0"/>
          <w:marRight w:val="0"/>
          <w:marTop w:val="0"/>
          <w:marBottom w:val="0"/>
          <w:divBdr>
            <w:top w:val="none" w:sz="0" w:space="0" w:color="auto"/>
            <w:left w:val="none" w:sz="0" w:space="0" w:color="auto"/>
            <w:bottom w:val="none" w:sz="0" w:space="0" w:color="auto"/>
            <w:right w:val="none" w:sz="0" w:space="0" w:color="auto"/>
          </w:divBdr>
        </w:div>
        <w:div w:id="1534341883">
          <w:marLeft w:val="0"/>
          <w:marRight w:val="0"/>
          <w:marTop w:val="0"/>
          <w:marBottom w:val="0"/>
          <w:divBdr>
            <w:top w:val="none" w:sz="0" w:space="0" w:color="auto"/>
            <w:left w:val="none" w:sz="0" w:space="0" w:color="auto"/>
            <w:bottom w:val="none" w:sz="0" w:space="0" w:color="auto"/>
            <w:right w:val="none" w:sz="0" w:space="0" w:color="auto"/>
          </w:divBdr>
        </w:div>
        <w:div w:id="1676179715">
          <w:marLeft w:val="0"/>
          <w:marRight w:val="0"/>
          <w:marTop w:val="0"/>
          <w:marBottom w:val="0"/>
          <w:divBdr>
            <w:top w:val="none" w:sz="0" w:space="0" w:color="auto"/>
            <w:left w:val="none" w:sz="0" w:space="0" w:color="auto"/>
            <w:bottom w:val="none" w:sz="0" w:space="0" w:color="auto"/>
            <w:right w:val="none" w:sz="0" w:space="0" w:color="auto"/>
          </w:divBdr>
        </w:div>
        <w:div w:id="343287977">
          <w:marLeft w:val="0"/>
          <w:marRight w:val="0"/>
          <w:marTop w:val="0"/>
          <w:marBottom w:val="0"/>
          <w:divBdr>
            <w:top w:val="none" w:sz="0" w:space="0" w:color="auto"/>
            <w:left w:val="none" w:sz="0" w:space="0" w:color="auto"/>
            <w:bottom w:val="none" w:sz="0" w:space="0" w:color="auto"/>
            <w:right w:val="none" w:sz="0" w:space="0" w:color="auto"/>
          </w:divBdr>
        </w:div>
        <w:div w:id="2129658154">
          <w:marLeft w:val="0"/>
          <w:marRight w:val="0"/>
          <w:marTop w:val="0"/>
          <w:marBottom w:val="0"/>
          <w:divBdr>
            <w:top w:val="none" w:sz="0" w:space="0" w:color="auto"/>
            <w:left w:val="none" w:sz="0" w:space="0" w:color="auto"/>
            <w:bottom w:val="none" w:sz="0" w:space="0" w:color="auto"/>
            <w:right w:val="none" w:sz="0" w:space="0" w:color="auto"/>
          </w:divBdr>
        </w:div>
        <w:div w:id="538976580">
          <w:marLeft w:val="0"/>
          <w:marRight w:val="0"/>
          <w:marTop w:val="0"/>
          <w:marBottom w:val="0"/>
          <w:divBdr>
            <w:top w:val="none" w:sz="0" w:space="0" w:color="auto"/>
            <w:left w:val="none" w:sz="0" w:space="0" w:color="auto"/>
            <w:bottom w:val="none" w:sz="0" w:space="0" w:color="auto"/>
            <w:right w:val="none" w:sz="0" w:space="0" w:color="auto"/>
          </w:divBdr>
        </w:div>
        <w:div w:id="1031613719">
          <w:marLeft w:val="0"/>
          <w:marRight w:val="0"/>
          <w:marTop w:val="0"/>
          <w:marBottom w:val="0"/>
          <w:divBdr>
            <w:top w:val="none" w:sz="0" w:space="0" w:color="auto"/>
            <w:left w:val="none" w:sz="0" w:space="0" w:color="auto"/>
            <w:bottom w:val="none" w:sz="0" w:space="0" w:color="auto"/>
            <w:right w:val="none" w:sz="0" w:space="0" w:color="auto"/>
          </w:divBdr>
        </w:div>
        <w:div w:id="1488285400">
          <w:marLeft w:val="0"/>
          <w:marRight w:val="0"/>
          <w:marTop w:val="0"/>
          <w:marBottom w:val="0"/>
          <w:divBdr>
            <w:top w:val="none" w:sz="0" w:space="0" w:color="auto"/>
            <w:left w:val="none" w:sz="0" w:space="0" w:color="auto"/>
            <w:bottom w:val="none" w:sz="0" w:space="0" w:color="auto"/>
            <w:right w:val="none" w:sz="0" w:space="0" w:color="auto"/>
          </w:divBdr>
        </w:div>
      </w:divsChild>
    </w:div>
    <w:div w:id="1940062997">
      <w:bodyDiv w:val="1"/>
      <w:marLeft w:val="0"/>
      <w:marRight w:val="0"/>
      <w:marTop w:val="0"/>
      <w:marBottom w:val="0"/>
      <w:divBdr>
        <w:top w:val="none" w:sz="0" w:space="0" w:color="auto"/>
        <w:left w:val="none" w:sz="0" w:space="0" w:color="auto"/>
        <w:bottom w:val="none" w:sz="0" w:space="0" w:color="auto"/>
        <w:right w:val="none" w:sz="0" w:space="0" w:color="auto"/>
      </w:divBdr>
    </w:div>
    <w:div w:id="1942175363">
      <w:bodyDiv w:val="1"/>
      <w:marLeft w:val="0"/>
      <w:marRight w:val="0"/>
      <w:marTop w:val="0"/>
      <w:marBottom w:val="0"/>
      <w:divBdr>
        <w:top w:val="none" w:sz="0" w:space="0" w:color="auto"/>
        <w:left w:val="none" w:sz="0" w:space="0" w:color="auto"/>
        <w:bottom w:val="none" w:sz="0" w:space="0" w:color="auto"/>
        <w:right w:val="none" w:sz="0" w:space="0" w:color="auto"/>
      </w:divBdr>
    </w:div>
    <w:div w:id="1949779478">
      <w:bodyDiv w:val="1"/>
      <w:marLeft w:val="0"/>
      <w:marRight w:val="0"/>
      <w:marTop w:val="0"/>
      <w:marBottom w:val="0"/>
      <w:divBdr>
        <w:top w:val="none" w:sz="0" w:space="0" w:color="auto"/>
        <w:left w:val="none" w:sz="0" w:space="0" w:color="auto"/>
        <w:bottom w:val="none" w:sz="0" w:space="0" w:color="auto"/>
        <w:right w:val="none" w:sz="0" w:space="0" w:color="auto"/>
      </w:divBdr>
    </w:div>
    <w:div w:id="1951550048">
      <w:bodyDiv w:val="1"/>
      <w:marLeft w:val="0"/>
      <w:marRight w:val="0"/>
      <w:marTop w:val="0"/>
      <w:marBottom w:val="0"/>
      <w:divBdr>
        <w:top w:val="none" w:sz="0" w:space="0" w:color="auto"/>
        <w:left w:val="none" w:sz="0" w:space="0" w:color="auto"/>
        <w:bottom w:val="none" w:sz="0" w:space="0" w:color="auto"/>
        <w:right w:val="none" w:sz="0" w:space="0" w:color="auto"/>
      </w:divBdr>
    </w:div>
    <w:div w:id="1952323968">
      <w:bodyDiv w:val="1"/>
      <w:marLeft w:val="0"/>
      <w:marRight w:val="0"/>
      <w:marTop w:val="0"/>
      <w:marBottom w:val="0"/>
      <w:divBdr>
        <w:top w:val="none" w:sz="0" w:space="0" w:color="auto"/>
        <w:left w:val="none" w:sz="0" w:space="0" w:color="auto"/>
        <w:bottom w:val="none" w:sz="0" w:space="0" w:color="auto"/>
        <w:right w:val="none" w:sz="0" w:space="0" w:color="auto"/>
      </w:divBdr>
    </w:div>
    <w:div w:id="1955743322">
      <w:bodyDiv w:val="1"/>
      <w:marLeft w:val="0"/>
      <w:marRight w:val="0"/>
      <w:marTop w:val="0"/>
      <w:marBottom w:val="0"/>
      <w:divBdr>
        <w:top w:val="none" w:sz="0" w:space="0" w:color="auto"/>
        <w:left w:val="none" w:sz="0" w:space="0" w:color="auto"/>
        <w:bottom w:val="none" w:sz="0" w:space="0" w:color="auto"/>
        <w:right w:val="none" w:sz="0" w:space="0" w:color="auto"/>
      </w:divBdr>
    </w:div>
    <w:div w:id="1955940840">
      <w:bodyDiv w:val="1"/>
      <w:marLeft w:val="0"/>
      <w:marRight w:val="0"/>
      <w:marTop w:val="0"/>
      <w:marBottom w:val="0"/>
      <w:divBdr>
        <w:top w:val="none" w:sz="0" w:space="0" w:color="auto"/>
        <w:left w:val="none" w:sz="0" w:space="0" w:color="auto"/>
        <w:bottom w:val="none" w:sz="0" w:space="0" w:color="auto"/>
        <w:right w:val="none" w:sz="0" w:space="0" w:color="auto"/>
      </w:divBdr>
    </w:div>
    <w:div w:id="1958835196">
      <w:bodyDiv w:val="1"/>
      <w:marLeft w:val="0"/>
      <w:marRight w:val="0"/>
      <w:marTop w:val="0"/>
      <w:marBottom w:val="0"/>
      <w:divBdr>
        <w:top w:val="none" w:sz="0" w:space="0" w:color="auto"/>
        <w:left w:val="none" w:sz="0" w:space="0" w:color="auto"/>
        <w:bottom w:val="none" w:sz="0" w:space="0" w:color="auto"/>
        <w:right w:val="none" w:sz="0" w:space="0" w:color="auto"/>
      </w:divBdr>
    </w:div>
    <w:div w:id="1960405510">
      <w:bodyDiv w:val="1"/>
      <w:marLeft w:val="0"/>
      <w:marRight w:val="0"/>
      <w:marTop w:val="0"/>
      <w:marBottom w:val="0"/>
      <w:divBdr>
        <w:top w:val="none" w:sz="0" w:space="0" w:color="auto"/>
        <w:left w:val="none" w:sz="0" w:space="0" w:color="auto"/>
        <w:bottom w:val="none" w:sz="0" w:space="0" w:color="auto"/>
        <w:right w:val="none" w:sz="0" w:space="0" w:color="auto"/>
      </w:divBdr>
    </w:div>
    <w:div w:id="1960721356">
      <w:bodyDiv w:val="1"/>
      <w:marLeft w:val="0"/>
      <w:marRight w:val="0"/>
      <w:marTop w:val="0"/>
      <w:marBottom w:val="0"/>
      <w:divBdr>
        <w:top w:val="none" w:sz="0" w:space="0" w:color="auto"/>
        <w:left w:val="none" w:sz="0" w:space="0" w:color="auto"/>
        <w:bottom w:val="none" w:sz="0" w:space="0" w:color="auto"/>
        <w:right w:val="none" w:sz="0" w:space="0" w:color="auto"/>
      </w:divBdr>
    </w:div>
    <w:div w:id="1962764648">
      <w:bodyDiv w:val="1"/>
      <w:marLeft w:val="0"/>
      <w:marRight w:val="0"/>
      <w:marTop w:val="0"/>
      <w:marBottom w:val="0"/>
      <w:divBdr>
        <w:top w:val="none" w:sz="0" w:space="0" w:color="auto"/>
        <w:left w:val="none" w:sz="0" w:space="0" w:color="auto"/>
        <w:bottom w:val="none" w:sz="0" w:space="0" w:color="auto"/>
        <w:right w:val="none" w:sz="0" w:space="0" w:color="auto"/>
      </w:divBdr>
    </w:div>
    <w:div w:id="1963225551">
      <w:bodyDiv w:val="1"/>
      <w:marLeft w:val="0"/>
      <w:marRight w:val="0"/>
      <w:marTop w:val="0"/>
      <w:marBottom w:val="0"/>
      <w:divBdr>
        <w:top w:val="none" w:sz="0" w:space="0" w:color="auto"/>
        <w:left w:val="none" w:sz="0" w:space="0" w:color="auto"/>
        <w:bottom w:val="none" w:sz="0" w:space="0" w:color="auto"/>
        <w:right w:val="none" w:sz="0" w:space="0" w:color="auto"/>
      </w:divBdr>
    </w:div>
    <w:div w:id="1963730804">
      <w:bodyDiv w:val="1"/>
      <w:marLeft w:val="0"/>
      <w:marRight w:val="0"/>
      <w:marTop w:val="0"/>
      <w:marBottom w:val="0"/>
      <w:divBdr>
        <w:top w:val="none" w:sz="0" w:space="0" w:color="auto"/>
        <w:left w:val="none" w:sz="0" w:space="0" w:color="auto"/>
        <w:bottom w:val="none" w:sz="0" w:space="0" w:color="auto"/>
        <w:right w:val="none" w:sz="0" w:space="0" w:color="auto"/>
      </w:divBdr>
    </w:div>
    <w:div w:id="1964654061">
      <w:bodyDiv w:val="1"/>
      <w:marLeft w:val="0"/>
      <w:marRight w:val="0"/>
      <w:marTop w:val="0"/>
      <w:marBottom w:val="0"/>
      <w:divBdr>
        <w:top w:val="none" w:sz="0" w:space="0" w:color="auto"/>
        <w:left w:val="none" w:sz="0" w:space="0" w:color="auto"/>
        <w:bottom w:val="none" w:sz="0" w:space="0" w:color="auto"/>
        <w:right w:val="none" w:sz="0" w:space="0" w:color="auto"/>
      </w:divBdr>
    </w:div>
    <w:div w:id="1967613584">
      <w:bodyDiv w:val="1"/>
      <w:marLeft w:val="0"/>
      <w:marRight w:val="0"/>
      <w:marTop w:val="0"/>
      <w:marBottom w:val="0"/>
      <w:divBdr>
        <w:top w:val="none" w:sz="0" w:space="0" w:color="auto"/>
        <w:left w:val="none" w:sz="0" w:space="0" w:color="auto"/>
        <w:bottom w:val="none" w:sz="0" w:space="0" w:color="auto"/>
        <w:right w:val="none" w:sz="0" w:space="0" w:color="auto"/>
      </w:divBdr>
    </w:div>
    <w:div w:id="1971354086">
      <w:bodyDiv w:val="1"/>
      <w:marLeft w:val="0"/>
      <w:marRight w:val="0"/>
      <w:marTop w:val="0"/>
      <w:marBottom w:val="0"/>
      <w:divBdr>
        <w:top w:val="none" w:sz="0" w:space="0" w:color="auto"/>
        <w:left w:val="none" w:sz="0" w:space="0" w:color="auto"/>
        <w:bottom w:val="none" w:sz="0" w:space="0" w:color="auto"/>
        <w:right w:val="none" w:sz="0" w:space="0" w:color="auto"/>
      </w:divBdr>
    </w:div>
    <w:div w:id="1971781866">
      <w:bodyDiv w:val="1"/>
      <w:marLeft w:val="0"/>
      <w:marRight w:val="0"/>
      <w:marTop w:val="0"/>
      <w:marBottom w:val="0"/>
      <w:divBdr>
        <w:top w:val="none" w:sz="0" w:space="0" w:color="auto"/>
        <w:left w:val="none" w:sz="0" w:space="0" w:color="auto"/>
        <w:bottom w:val="none" w:sz="0" w:space="0" w:color="auto"/>
        <w:right w:val="none" w:sz="0" w:space="0" w:color="auto"/>
      </w:divBdr>
    </w:div>
    <w:div w:id="1972977794">
      <w:bodyDiv w:val="1"/>
      <w:marLeft w:val="0"/>
      <w:marRight w:val="0"/>
      <w:marTop w:val="0"/>
      <w:marBottom w:val="0"/>
      <w:divBdr>
        <w:top w:val="none" w:sz="0" w:space="0" w:color="auto"/>
        <w:left w:val="none" w:sz="0" w:space="0" w:color="auto"/>
        <w:bottom w:val="none" w:sz="0" w:space="0" w:color="auto"/>
        <w:right w:val="none" w:sz="0" w:space="0" w:color="auto"/>
      </w:divBdr>
    </w:div>
    <w:div w:id="1974289720">
      <w:bodyDiv w:val="1"/>
      <w:marLeft w:val="0"/>
      <w:marRight w:val="0"/>
      <w:marTop w:val="0"/>
      <w:marBottom w:val="0"/>
      <w:divBdr>
        <w:top w:val="none" w:sz="0" w:space="0" w:color="auto"/>
        <w:left w:val="none" w:sz="0" w:space="0" w:color="auto"/>
        <w:bottom w:val="none" w:sz="0" w:space="0" w:color="auto"/>
        <w:right w:val="none" w:sz="0" w:space="0" w:color="auto"/>
      </w:divBdr>
    </w:div>
    <w:div w:id="1984193611">
      <w:bodyDiv w:val="1"/>
      <w:marLeft w:val="0"/>
      <w:marRight w:val="0"/>
      <w:marTop w:val="0"/>
      <w:marBottom w:val="0"/>
      <w:divBdr>
        <w:top w:val="none" w:sz="0" w:space="0" w:color="auto"/>
        <w:left w:val="none" w:sz="0" w:space="0" w:color="auto"/>
        <w:bottom w:val="none" w:sz="0" w:space="0" w:color="auto"/>
        <w:right w:val="none" w:sz="0" w:space="0" w:color="auto"/>
      </w:divBdr>
    </w:div>
    <w:div w:id="1986012193">
      <w:bodyDiv w:val="1"/>
      <w:marLeft w:val="0"/>
      <w:marRight w:val="0"/>
      <w:marTop w:val="0"/>
      <w:marBottom w:val="0"/>
      <w:divBdr>
        <w:top w:val="none" w:sz="0" w:space="0" w:color="auto"/>
        <w:left w:val="none" w:sz="0" w:space="0" w:color="auto"/>
        <w:bottom w:val="none" w:sz="0" w:space="0" w:color="auto"/>
        <w:right w:val="none" w:sz="0" w:space="0" w:color="auto"/>
      </w:divBdr>
    </w:div>
    <w:div w:id="1991009428">
      <w:bodyDiv w:val="1"/>
      <w:marLeft w:val="0"/>
      <w:marRight w:val="0"/>
      <w:marTop w:val="0"/>
      <w:marBottom w:val="0"/>
      <w:divBdr>
        <w:top w:val="none" w:sz="0" w:space="0" w:color="auto"/>
        <w:left w:val="none" w:sz="0" w:space="0" w:color="auto"/>
        <w:bottom w:val="none" w:sz="0" w:space="0" w:color="auto"/>
        <w:right w:val="none" w:sz="0" w:space="0" w:color="auto"/>
      </w:divBdr>
    </w:div>
    <w:div w:id="1997220649">
      <w:bodyDiv w:val="1"/>
      <w:marLeft w:val="0"/>
      <w:marRight w:val="0"/>
      <w:marTop w:val="0"/>
      <w:marBottom w:val="0"/>
      <w:divBdr>
        <w:top w:val="none" w:sz="0" w:space="0" w:color="auto"/>
        <w:left w:val="none" w:sz="0" w:space="0" w:color="auto"/>
        <w:bottom w:val="none" w:sz="0" w:space="0" w:color="auto"/>
        <w:right w:val="none" w:sz="0" w:space="0" w:color="auto"/>
      </w:divBdr>
    </w:div>
    <w:div w:id="1997681864">
      <w:bodyDiv w:val="1"/>
      <w:marLeft w:val="0"/>
      <w:marRight w:val="0"/>
      <w:marTop w:val="0"/>
      <w:marBottom w:val="0"/>
      <w:divBdr>
        <w:top w:val="none" w:sz="0" w:space="0" w:color="auto"/>
        <w:left w:val="none" w:sz="0" w:space="0" w:color="auto"/>
        <w:bottom w:val="none" w:sz="0" w:space="0" w:color="auto"/>
        <w:right w:val="none" w:sz="0" w:space="0" w:color="auto"/>
      </w:divBdr>
    </w:div>
    <w:div w:id="2002387561">
      <w:bodyDiv w:val="1"/>
      <w:marLeft w:val="0"/>
      <w:marRight w:val="0"/>
      <w:marTop w:val="0"/>
      <w:marBottom w:val="0"/>
      <w:divBdr>
        <w:top w:val="none" w:sz="0" w:space="0" w:color="auto"/>
        <w:left w:val="none" w:sz="0" w:space="0" w:color="auto"/>
        <w:bottom w:val="none" w:sz="0" w:space="0" w:color="auto"/>
        <w:right w:val="none" w:sz="0" w:space="0" w:color="auto"/>
      </w:divBdr>
    </w:div>
    <w:div w:id="2004317093">
      <w:bodyDiv w:val="1"/>
      <w:marLeft w:val="0"/>
      <w:marRight w:val="0"/>
      <w:marTop w:val="0"/>
      <w:marBottom w:val="0"/>
      <w:divBdr>
        <w:top w:val="none" w:sz="0" w:space="0" w:color="auto"/>
        <w:left w:val="none" w:sz="0" w:space="0" w:color="auto"/>
        <w:bottom w:val="none" w:sz="0" w:space="0" w:color="auto"/>
        <w:right w:val="none" w:sz="0" w:space="0" w:color="auto"/>
      </w:divBdr>
    </w:div>
    <w:div w:id="2007123926">
      <w:bodyDiv w:val="1"/>
      <w:marLeft w:val="0"/>
      <w:marRight w:val="0"/>
      <w:marTop w:val="0"/>
      <w:marBottom w:val="0"/>
      <w:divBdr>
        <w:top w:val="none" w:sz="0" w:space="0" w:color="auto"/>
        <w:left w:val="none" w:sz="0" w:space="0" w:color="auto"/>
        <w:bottom w:val="none" w:sz="0" w:space="0" w:color="auto"/>
        <w:right w:val="none" w:sz="0" w:space="0" w:color="auto"/>
      </w:divBdr>
    </w:div>
    <w:div w:id="2008054601">
      <w:bodyDiv w:val="1"/>
      <w:marLeft w:val="0"/>
      <w:marRight w:val="0"/>
      <w:marTop w:val="0"/>
      <w:marBottom w:val="0"/>
      <w:divBdr>
        <w:top w:val="none" w:sz="0" w:space="0" w:color="auto"/>
        <w:left w:val="none" w:sz="0" w:space="0" w:color="auto"/>
        <w:bottom w:val="none" w:sz="0" w:space="0" w:color="auto"/>
        <w:right w:val="none" w:sz="0" w:space="0" w:color="auto"/>
      </w:divBdr>
    </w:div>
    <w:div w:id="2012946098">
      <w:bodyDiv w:val="1"/>
      <w:marLeft w:val="0"/>
      <w:marRight w:val="0"/>
      <w:marTop w:val="0"/>
      <w:marBottom w:val="0"/>
      <w:divBdr>
        <w:top w:val="none" w:sz="0" w:space="0" w:color="auto"/>
        <w:left w:val="none" w:sz="0" w:space="0" w:color="auto"/>
        <w:bottom w:val="none" w:sz="0" w:space="0" w:color="auto"/>
        <w:right w:val="none" w:sz="0" w:space="0" w:color="auto"/>
      </w:divBdr>
    </w:div>
    <w:div w:id="2014918621">
      <w:bodyDiv w:val="1"/>
      <w:marLeft w:val="0"/>
      <w:marRight w:val="0"/>
      <w:marTop w:val="0"/>
      <w:marBottom w:val="0"/>
      <w:divBdr>
        <w:top w:val="none" w:sz="0" w:space="0" w:color="auto"/>
        <w:left w:val="none" w:sz="0" w:space="0" w:color="auto"/>
        <w:bottom w:val="none" w:sz="0" w:space="0" w:color="auto"/>
        <w:right w:val="none" w:sz="0" w:space="0" w:color="auto"/>
      </w:divBdr>
    </w:div>
    <w:div w:id="2020279561">
      <w:bodyDiv w:val="1"/>
      <w:marLeft w:val="0"/>
      <w:marRight w:val="0"/>
      <w:marTop w:val="0"/>
      <w:marBottom w:val="0"/>
      <w:divBdr>
        <w:top w:val="none" w:sz="0" w:space="0" w:color="auto"/>
        <w:left w:val="none" w:sz="0" w:space="0" w:color="auto"/>
        <w:bottom w:val="none" w:sz="0" w:space="0" w:color="auto"/>
        <w:right w:val="none" w:sz="0" w:space="0" w:color="auto"/>
      </w:divBdr>
      <w:divsChild>
        <w:div w:id="1878276527">
          <w:marLeft w:val="0"/>
          <w:marRight w:val="0"/>
          <w:marTop w:val="0"/>
          <w:marBottom w:val="0"/>
          <w:divBdr>
            <w:top w:val="none" w:sz="0" w:space="0" w:color="auto"/>
            <w:left w:val="none" w:sz="0" w:space="0" w:color="auto"/>
            <w:bottom w:val="none" w:sz="0" w:space="0" w:color="auto"/>
            <w:right w:val="none" w:sz="0" w:space="0" w:color="auto"/>
          </w:divBdr>
        </w:div>
      </w:divsChild>
    </w:div>
    <w:div w:id="2024553784">
      <w:bodyDiv w:val="1"/>
      <w:marLeft w:val="0"/>
      <w:marRight w:val="0"/>
      <w:marTop w:val="0"/>
      <w:marBottom w:val="0"/>
      <w:divBdr>
        <w:top w:val="none" w:sz="0" w:space="0" w:color="auto"/>
        <w:left w:val="none" w:sz="0" w:space="0" w:color="auto"/>
        <w:bottom w:val="none" w:sz="0" w:space="0" w:color="auto"/>
        <w:right w:val="none" w:sz="0" w:space="0" w:color="auto"/>
      </w:divBdr>
    </w:div>
    <w:div w:id="2035576163">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7150926">
      <w:bodyDiv w:val="1"/>
      <w:marLeft w:val="0"/>
      <w:marRight w:val="0"/>
      <w:marTop w:val="0"/>
      <w:marBottom w:val="0"/>
      <w:divBdr>
        <w:top w:val="none" w:sz="0" w:space="0" w:color="auto"/>
        <w:left w:val="none" w:sz="0" w:space="0" w:color="auto"/>
        <w:bottom w:val="none" w:sz="0" w:space="0" w:color="auto"/>
        <w:right w:val="none" w:sz="0" w:space="0" w:color="auto"/>
      </w:divBdr>
    </w:div>
    <w:div w:id="2039621000">
      <w:bodyDiv w:val="1"/>
      <w:marLeft w:val="0"/>
      <w:marRight w:val="0"/>
      <w:marTop w:val="0"/>
      <w:marBottom w:val="0"/>
      <w:divBdr>
        <w:top w:val="none" w:sz="0" w:space="0" w:color="auto"/>
        <w:left w:val="none" w:sz="0" w:space="0" w:color="auto"/>
        <w:bottom w:val="none" w:sz="0" w:space="0" w:color="auto"/>
        <w:right w:val="none" w:sz="0" w:space="0" w:color="auto"/>
      </w:divBdr>
    </w:div>
    <w:div w:id="2047638379">
      <w:bodyDiv w:val="1"/>
      <w:marLeft w:val="0"/>
      <w:marRight w:val="0"/>
      <w:marTop w:val="0"/>
      <w:marBottom w:val="0"/>
      <w:divBdr>
        <w:top w:val="none" w:sz="0" w:space="0" w:color="auto"/>
        <w:left w:val="none" w:sz="0" w:space="0" w:color="auto"/>
        <w:bottom w:val="none" w:sz="0" w:space="0" w:color="auto"/>
        <w:right w:val="none" w:sz="0" w:space="0" w:color="auto"/>
      </w:divBdr>
    </w:div>
    <w:div w:id="2047833600">
      <w:bodyDiv w:val="1"/>
      <w:marLeft w:val="0"/>
      <w:marRight w:val="0"/>
      <w:marTop w:val="0"/>
      <w:marBottom w:val="0"/>
      <w:divBdr>
        <w:top w:val="none" w:sz="0" w:space="0" w:color="auto"/>
        <w:left w:val="none" w:sz="0" w:space="0" w:color="auto"/>
        <w:bottom w:val="none" w:sz="0" w:space="0" w:color="auto"/>
        <w:right w:val="none" w:sz="0" w:space="0" w:color="auto"/>
      </w:divBdr>
    </w:div>
    <w:div w:id="2052873079">
      <w:bodyDiv w:val="1"/>
      <w:marLeft w:val="0"/>
      <w:marRight w:val="0"/>
      <w:marTop w:val="0"/>
      <w:marBottom w:val="0"/>
      <w:divBdr>
        <w:top w:val="none" w:sz="0" w:space="0" w:color="auto"/>
        <w:left w:val="none" w:sz="0" w:space="0" w:color="auto"/>
        <w:bottom w:val="none" w:sz="0" w:space="0" w:color="auto"/>
        <w:right w:val="none" w:sz="0" w:space="0" w:color="auto"/>
      </w:divBdr>
    </w:div>
    <w:div w:id="2058780194">
      <w:bodyDiv w:val="1"/>
      <w:marLeft w:val="0"/>
      <w:marRight w:val="0"/>
      <w:marTop w:val="0"/>
      <w:marBottom w:val="0"/>
      <w:divBdr>
        <w:top w:val="none" w:sz="0" w:space="0" w:color="auto"/>
        <w:left w:val="none" w:sz="0" w:space="0" w:color="auto"/>
        <w:bottom w:val="none" w:sz="0" w:space="0" w:color="auto"/>
        <w:right w:val="none" w:sz="0" w:space="0" w:color="auto"/>
      </w:divBdr>
    </w:div>
    <w:div w:id="2066443352">
      <w:bodyDiv w:val="1"/>
      <w:marLeft w:val="0"/>
      <w:marRight w:val="0"/>
      <w:marTop w:val="0"/>
      <w:marBottom w:val="0"/>
      <w:divBdr>
        <w:top w:val="none" w:sz="0" w:space="0" w:color="auto"/>
        <w:left w:val="none" w:sz="0" w:space="0" w:color="auto"/>
        <w:bottom w:val="none" w:sz="0" w:space="0" w:color="auto"/>
        <w:right w:val="none" w:sz="0" w:space="0" w:color="auto"/>
      </w:divBdr>
    </w:div>
    <w:div w:id="2068064551">
      <w:bodyDiv w:val="1"/>
      <w:marLeft w:val="0"/>
      <w:marRight w:val="0"/>
      <w:marTop w:val="0"/>
      <w:marBottom w:val="0"/>
      <w:divBdr>
        <w:top w:val="none" w:sz="0" w:space="0" w:color="auto"/>
        <w:left w:val="none" w:sz="0" w:space="0" w:color="auto"/>
        <w:bottom w:val="none" w:sz="0" w:space="0" w:color="auto"/>
        <w:right w:val="none" w:sz="0" w:space="0" w:color="auto"/>
      </w:divBdr>
    </w:div>
    <w:div w:id="2076394623">
      <w:bodyDiv w:val="1"/>
      <w:marLeft w:val="0"/>
      <w:marRight w:val="0"/>
      <w:marTop w:val="0"/>
      <w:marBottom w:val="0"/>
      <w:divBdr>
        <w:top w:val="none" w:sz="0" w:space="0" w:color="auto"/>
        <w:left w:val="none" w:sz="0" w:space="0" w:color="auto"/>
        <w:bottom w:val="none" w:sz="0" w:space="0" w:color="auto"/>
        <w:right w:val="none" w:sz="0" w:space="0" w:color="auto"/>
      </w:divBdr>
    </w:div>
    <w:div w:id="2078746464">
      <w:bodyDiv w:val="1"/>
      <w:marLeft w:val="0"/>
      <w:marRight w:val="0"/>
      <w:marTop w:val="0"/>
      <w:marBottom w:val="0"/>
      <w:divBdr>
        <w:top w:val="none" w:sz="0" w:space="0" w:color="auto"/>
        <w:left w:val="none" w:sz="0" w:space="0" w:color="auto"/>
        <w:bottom w:val="none" w:sz="0" w:space="0" w:color="auto"/>
        <w:right w:val="none" w:sz="0" w:space="0" w:color="auto"/>
      </w:divBdr>
    </w:div>
    <w:div w:id="2080518875">
      <w:bodyDiv w:val="1"/>
      <w:marLeft w:val="0"/>
      <w:marRight w:val="0"/>
      <w:marTop w:val="0"/>
      <w:marBottom w:val="0"/>
      <w:divBdr>
        <w:top w:val="none" w:sz="0" w:space="0" w:color="auto"/>
        <w:left w:val="none" w:sz="0" w:space="0" w:color="auto"/>
        <w:bottom w:val="none" w:sz="0" w:space="0" w:color="auto"/>
        <w:right w:val="none" w:sz="0" w:space="0" w:color="auto"/>
      </w:divBdr>
    </w:div>
    <w:div w:id="2086418472">
      <w:bodyDiv w:val="1"/>
      <w:marLeft w:val="0"/>
      <w:marRight w:val="0"/>
      <w:marTop w:val="0"/>
      <w:marBottom w:val="0"/>
      <w:divBdr>
        <w:top w:val="none" w:sz="0" w:space="0" w:color="auto"/>
        <w:left w:val="none" w:sz="0" w:space="0" w:color="auto"/>
        <w:bottom w:val="none" w:sz="0" w:space="0" w:color="auto"/>
        <w:right w:val="none" w:sz="0" w:space="0" w:color="auto"/>
      </w:divBdr>
    </w:div>
    <w:div w:id="2087722677">
      <w:bodyDiv w:val="1"/>
      <w:marLeft w:val="0"/>
      <w:marRight w:val="0"/>
      <w:marTop w:val="0"/>
      <w:marBottom w:val="0"/>
      <w:divBdr>
        <w:top w:val="none" w:sz="0" w:space="0" w:color="auto"/>
        <w:left w:val="none" w:sz="0" w:space="0" w:color="auto"/>
        <w:bottom w:val="none" w:sz="0" w:space="0" w:color="auto"/>
        <w:right w:val="none" w:sz="0" w:space="0" w:color="auto"/>
      </w:divBdr>
    </w:div>
    <w:div w:id="2087797276">
      <w:bodyDiv w:val="1"/>
      <w:marLeft w:val="0"/>
      <w:marRight w:val="0"/>
      <w:marTop w:val="0"/>
      <w:marBottom w:val="0"/>
      <w:divBdr>
        <w:top w:val="none" w:sz="0" w:space="0" w:color="auto"/>
        <w:left w:val="none" w:sz="0" w:space="0" w:color="auto"/>
        <w:bottom w:val="none" w:sz="0" w:space="0" w:color="auto"/>
        <w:right w:val="none" w:sz="0" w:space="0" w:color="auto"/>
      </w:divBdr>
    </w:div>
    <w:div w:id="2088576114">
      <w:bodyDiv w:val="1"/>
      <w:marLeft w:val="0"/>
      <w:marRight w:val="0"/>
      <w:marTop w:val="0"/>
      <w:marBottom w:val="0"/>
      <w:divBdr>
        <w:top w:val="none" w:sz="0" w:space="0" w:color="auto"/>
        <w:left w:val="none" w:sz="0" w:space="0" w:color="auto"/>
        <w:bottom w:val="none" w:sz="0" w:space="0" w:color="auto"/>
        <w:right w:val="none" w:sz="0" w:space="0" w:color="auto"/>
      </w:divBdr>
    </w:div>
    <w:div w:id="2089885212">
      <w:bodyDiv w:val="1"/>
      <w:marLeft w:val="0"/>
      <w:marRight w:val="0"/>
      <w:marTop w:val="0"/>
      <w:marBottom w:val="0"/>
      <w:divBdr>
        <w:top w:val="none" w:sz="0" w:space="0" w:color="auto"/>
        <w:left w:val="none" w:sz="0" w:space="0" w:color="auto"/>
        <w:bottom w:val="none" w:sz="0" w:space="0" w:color="auto"/>
        <w:right w:val="none" w:sz="0" w:space="0" w:color="auto"/>
      </w:divBdr>
    </w:div>
    <w:div w:id="2092576419">
      <w:bodyDiv w:val="1"/>
      <w:marLeft w:val="0"/>
      <w:marRight w:val="0"/>
      <w:marTop w:val="0"/>
      <w:marBottom w:val="0"/>
      <w:divBdr>
        <w:top w:val="none" w:sz="0" w:space="0" w:color="auto"/>
        <w:left w:val="none" w:sz="0" w:space="0" w:color="auto"/>
        <w:bottom w:val="none" w:sz="0" w:space="0" w:color="auto"/>
        <w:right w:val="none" w:sz="0" w:space="0" w:color="auto"/>
      </w:divBdr>
    </w:div>
    <w:div w:id="2097051941">
      <w:bodyDiv w:val="1"/>
      <w:marLeft w:val="0"/>
      <w:marRight w:val="0"/>
      <w:marTop w:val="0"/>
      <w:marBottom w:val="0"/>
      <w:divBdr>
        <w:top w:val="none" w:sz="0" w:space="0" w:color="auto"/>
        <w:left w:val="none" w:sz="0" w:space="0" w:color="auto"/>
        <w:bottom w:val="none" w:sz="0" w:space="0" w:color="auto"/>
        <w:right w:val="none" w:sz="0" w:space="0" w:color="auto"/>
      </w:divBdr>
    </w:div>
    <w:div w:id="2111583878">
      <w:bodyDiv w:val="1"/>
      <w:marLeft w:val="0"/>
      <w:marRight w:val="0"/>
      <w:marTop w:val="0"/>
      <w:marBottom w:val="0"/>
      <w:divBdr>
        <w:top w:val="none" w:sz="0" w:space="0" w:color="auto"/>
        <w:left w:val="none" w:sz="0" w:space="0" w:color="auto"/>
        <w:bottom w:val="none" w:sz="0" w:space="0" w:color="auto"/>
        <w:right w:val="none" w:sz="0" w:space="0" w:color="auto"/>
      </w:divBdr>
    </w:div>
    <w:div w:id="2114082707">
      <w:bodyDiv w:val="1"/>
      <w:marLeft w:val="0"/>
      <w:marRight w:val="0"/>
      <w:marTop w:val="0"/>
      <w:marBottom w:val="0"/>
      <w:divBdr>
        <w:top w:val="none" w:sz="0" w:space="0" w:color="auto"/>
        <w:left w:val="none" w:sz="0" w:space="0" w:color="auto"/>
        <w:bottom w:val="none" w:sz="0" w:space="0" w:color="auto"/>
        <w:right w:val="none" w:sz="0" w:space="0" w:color="auto"/>
      </w:divBdr>
    </w:div>
    <w:div w:id="2116175007">
      <w:bodyDiv w:val="1"/>
      <w:marLeft w:val="0"/>
      <w:marRight w:val="0"/>
      <w:marTop w:val="0"/>
      <w:marBottom w:val="0"/>
      <w:divBdr>
        <w:top w:val="none" w:sz="0" w:space="0" w:color="auto"/>
        <w:left w:val="none" w:sz="0" w:space="0" w:color="auto"/>
        <w:bottom w:val="none" w:sz="0" w:space="0" w:color="auto"/>
        <w:right w:val="none" w:sz="0" w:space="0" w:color="auto"/>
      </w:divBdr>
    </w:div>
    <w:div w:id="2116900903">
      <w:bodyDiv w:val="1"/>
      <w:marLeft w:val="0"/>
      <w:marRight w:val="0"/>
      <w:marTop w:val="0"/>
      <w:marBottom w:val="0"/>
      <w:divBdr>
        <w:top w:val="none" w:sz="0" w:space="0" w:color="auto"/>
        <w:left w:val="none" w:sz="0" w:space="0" w:color="auto"/>
        <w:bottom w:val="none" w:sz="0" w:space="0" w:color="auto"/>
        <w:right w:val="none" w:sz="0" w:space="0" w:color="auto"/>
      </w:divBdr>
    </w:div>
    <w:div w:id="2119831037">
      <w:bodyDiv w:val="1"/>
      <w:marLeft w:val="0"/>
      <w:marRight w:val="0"/>
      <w:marTop w:val="0"/>
      <w:marBottom w:val="0"/>
      <w:divBdr>
        <w:top w:val="none" w:sz="0" w:space="0" w:color="auto"/>
        <w:left w:val="none" w:sz="0" w:space="0" w:color="auto"/>
        <w:bottom w:val="none" w:sz="0" w:space="0" w:color="auto"/>
        <w:right w:val="none" w:sz="0" w:space="0" w:color="auto"/>
      </w:divBdr>
    </w:div>
    <w:div w:id="2120877809">
      <w:bodyDiv w:val="1"/>
      <w:marLeft w:val="0"/>
      <w:marRight w:val="0"/>
      <w:marTop w:val="0"/>
      <w:marBottom w:val="0"/>
      <w:divBdr>
        <w:top w:val="none" w:sz="0" w:space="0" w:color="auto"/>
        <w:left w:val="none" w:sz="0" w:space="0" w:color="auto"/>
        <w:bottom w:val="none" w:sz="0" w:space="0" w:color="auto"/>
        <w:right w:val="none" w:sz="0" w:space="0" w:color="auto"/>
      </w:divBdr>
    </w:div>
    <w:div w:id="2135246247">
      <w:bodyDiv w:val="1"/>
      <w:marLeft w:val="0"/>
      <w:marRight w:val="0"/>
      <w:marTop w:val="0"/>
      <w:marBottom w:val="0"/>
      <w:divBdr>
        <w:top w:val="none" w:sz="0" w:space="0" w:color="auto"/>
        <w:left w:val="none" w:sz="0" w:space="0" w:color="auto"/>
        <w:bottom w:val="none" w:sz="0" w:space="0" w:color="auto"/>
        <w:right w:val="none" w:sz="0" w:space="0" w:color="auto"/>
      </w:divBdr>
    </w:div>
    <w:div w:id="2135561872">
      <w:bodyDiv w:val="1"/>
      <w:marLeft w:val="0"/>
      <w:marRight w:val="0"/>
      <w:marTop w:val="0"/>
      <w:marBottom w:val="0"/>
      <w:divBdr>
        <w:top w:val="none" w:sz="0" w:space="0" w:color="auto"/>
        <w:left w:val="none" w:sz="0" w:space="0" w:color="auto"/>
        <w:bottom w:val="none" w:sz="0" w:space="0" w:color="auto"/>
        <w:right w:val="none" w:sz="0" w:space="0" w:color="auto"/>
      </w:divBdr>
    </w:div>
    <w:div w:id="2139568823">
      <w:bodyDiv w:val="1"/>
      <w:marLeft w:val="0"/>
      <w:marRight w:val="0"/>
      <w:marTop w:val="0"/>
      <w:marBottom w:val="0"/>
      <w:divBdr>
        <w:top w:val="none" w:sz="0" w:space="0" w:color="auto"/>
        <w:left w:val="none" w:sz="0" w:space="0" w:color="auto"/>
        <w:bottom w:val="none" w:sz="0" w:space="0" w:color="auto"/>
        <w:right w:val="none" w:sz="0" w:space="0" w:color="auto"/>
      </w:divBdr>
    </w:div>
    <w:div w:id="2146774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settings" Target="settings.xml"/><Relationship Id="rId18" Type="http://schemas.openxmlformats.org/officeDocument/2006/relationships/hyperlink" Target="mailto:bulletin@sebi.gov.in" TargetMode="External"/><Relationship Id="rId26" Type="http://schemas.openxmlformats.org/officeDocument/2006/relationships/chart" Target="charts/chart8.xml"/><Relationship Id="rId39" Type="http://schemas.openxmlformats.org/officeDocument/2006/relationships/image" Target="media/image4.png"/><Relationship Id="rId21" Type="http://schemas.openxmlformats.org/officeDocument/2006/relationships/chart" Target="charts/chart3.xml"/><Relationship Id="rId34" Type="http://schemas.openxmlformats.org/officeDocument/2006/relationships/chart" Target="charts/chart16.xml"/><Relationship Id="rId42" Type="http://schemas.openxmlformats.org/officeDocument/2006/relationships/header" Target="header1.xml"/><Relationship Id="rId47" Type="http://schemas.openxmlformats.org/officeDocument/2006/relationships/header" Target="header3.xml"/><Relationship Id="rId50" Type="http://schemas.openxmlformats.org/officeDocument/2006/relationships/footer" Target="footer4.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endnotes" Target="endnotes.xml"/><Relationship Id="rId29" Type="http://schemas.openxmlformats.org/officeDocument/2006/relationships/chart" Target="charts/chart11.xml"/><Relationship Id="rId11" Type="http://schemas.openxmlformats.org/officeDocument/2006/relationships/numbering" Target="numbering.xml"/><Relationship Id="rId24" Type="http://schemas.openxmlformats.org/officeDocument/2006/relationships/chart" Target="charts/chart6.xml"/><Relationship Id="rId32" Type="http://schemas.openxmlformats.org/officeDocument/2006/relationships/chart" Target="charts/chart14.xml"/><Relationship Id="rId37" Type="http://schemas.openxmlformats.org/officeDocument/2006/relationships/image" Target="media/image2.png"/><Relationship Id="rId40" Type="http://schemas.openxmlformats.org/officeDocument/2006/relationships/image" Target="media/image5.png"/><Relationship Id="rId45" Type="http://schemas.openxmlformats.org/officeDocument/2006/relationships/footer" Target="footer2.xml"/><Relationship Id="rId5" Type="http://schemas.openxmlformats.org/officeDocument/2006/relationships/customXml" Target="../customXml/item5.xml"/><Relationship Id="rId15" Type="http://schemas.openxmlformats.org/officeDocument/2006/relationships/footnotes" Target="footnotes.xml"/><Relationship Id="rId23" Type="http://schemas.openxmlformats.org/officeDocument/2006/relationships/chart" Target="charts/chart5.xml"/><Relationship Id="rId28" Type="http://schemas.openxmlformats.org/officeDocument/2006/relationships/chart" Target="charts/chart10.xml"/><Relationship Id="rId36" Type="http://schemas.openxmlformats.org/officeDocument/2006/relationships/image" Target="media/image1.png"/><Relationship Id="rId49" Type="http://schemas.openxmlformats.org/officeDocument/2006/relationships/footer" Target="footer3.xml"/><Relationship Id="rId10" Type="http://schemas.openxmlformats.org/officeDocument/2006/relationships/customXml" Target="../customXml/item10.xml"/><Relationship Id="rId19" Type="http://schemas.openxmlformats.org/officeDocument/2006/relationships/chart" Target="charts/chart1.xml"/><Relationship Id="rId31" Type="http://schemas.openxmlformats.org/officeDocument/2006/relationships/chart" Target="charts/chart13.xml"/><Relationship Id="rId44" Type="http://schemas.openxmlformats.org/officeDocument/2006/relationships/footer" Target="footer1.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webSettings" Target="webSettings.xml"/><Relationship Id="rId22" Type="http://schemas.openxmlformats.org/officeDocument/2006/relationships/chart" Target="charts/chart4.xml"/><Relationship Id="rId27" Type="http://schemas.openxmlformats.org/officeDocument/2006/relationships/chart" Target="charts/chart9.xml"/><Relationship Id="rId30" Type="http://schemas.openxmlformats.org/officeDocument/2006/relationships/chart" Target="charts/chart12.xml"/><Relationship Id="rId35" Type="http://schemas.openxmlformats.org/officeDocument/2006/relationships/chart" Target="charts/chart17.xml"/><Relationship Id="rId43" Type="http://schemas.openxmlformats.org/officeDocument/2006/relationships/header" Target="header2.xml"/><Relationship Id="rId48" Type="http://schemas.openxmlformats.org/officeDocument/2006/relationships/header" Target="header4.xml"/><Relationship Id="rId8" Type="http://schemas.openxmlformats.org/officeDocument/2006/relationships/customXml" Target="../customXml/item8.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styles" Target="styles.xml"/><Relationship Id="rId17" Type="http://schemas.openxmlformats.org/officeDocument/2006/relationships/hyperlink" Target="http://www.sebi.gov.in" TargetMode="External"/><Relationship Id="rId25" Type="http://schemas.openxmlformats.org/officeDocument/2006/relationships/chart" Target="charts/chart7.xml"/><Relationship Id="rId33" Type="http://schemas.openxmlformats.org/officeDocument/2006/relationships/chart" Target="charts/chart15.xml"/><Relationship Id="rId38" Type="http://schemas.openxmlformats.org/officeDocument/2006/relationships/image" Target="media/image3.png"/><Relationship Id="rId46" Type="http://schemas.openxmlformats.org/officeDocument/2006/relationships/hyperlink" Target="https://www.fca.org.uk/publication/documents/future-cessation-loss-representativeness-libor-benchmarks.pdf" TargetMode="External"/><Relationship Id="rId20" Type="http://schemas.openxmlformats.org/officeDocument/2006/relationships/chart" Target="charts/chart2.xml"/><Relationship Id="rId41"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customXml" Target="../customXml/item6.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F:\C%20DRIVE%20DATA%20BACKUP%2013-11-2019\Documents\Work_HO_DEPA\2020-21\Bulletin\April%202021\CMR%20April%202021.xlsx" TargetMode="Externa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F:\C%20DRIVE%20DATA%20BACKUP%2013-11-2019\Documents\Work_HO_DEPA\2020-21\Bulletin\April%202021\CMR%20April%202021.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F:\C%20DRIVE%20DATA%20BACKUP%2013-11-2019\Documents\Work_HO_DEPA\2020-21\Bulletin\April%202021\CMR%20April%202021.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F:\C%20DRIVE%20DATA%20BACKUP%2013-11-2019\Documents\Work_HO_DEPA\2020-21\Bulletin\April%202021\CMR%20April%202021.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F:\C%20DRIVE%20DATA%20BACKUP%2013-11-2019\Documents\Work_HO_DEPA\2020-21\Bulletin\April%202021\CMR%20April%202021.xlsx" TargetMode="Externa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C:\Users\Saurabh\Desktop\Graphs%20%20data%20for%20bulletin%20Mar.%20%202021.xlsx" TargetMode="Externa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file:///C:\Users\Saurabh\Desktop\Graphs%20%20data%20for%20bulletin%20Mar.%20%202021.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Saurabh\Desktop\Graphs%20%20data%20for%20bulletin%20Mar.%20%202021.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Saurabh\Desktop\Graphs%20%20data%20for%20bulletin%20Mar.%20%202021.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F:\C%20DRIVE%20DATA%20BACKUP%2013-11-2019\Documents\Work_HO_DEPA\2020-21\Bulletin\April%202021\CMR%20April%202021.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F:\C%20DRIVE%20DATA%20BACKUP%2013-11-2019\Documents\Work_HO_DEPA\2020-21\Bulletin\April%202021\CMR%20April%20202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F:\C%20DRIVE%20DATA%20BACKUP%2013-11-2019\Documents\Work_HO_DEPA\2020-21\Bulletin\April%202021\CMR%20April%20202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F:\C%20DRIVE%20DATA%20BACKUP%2013-11-2019\Documents\Work_HO_DEPA\2020-21\Bulletin\March%202021\CMR%20March%20202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F:\C%20DRIVE%20DATA%20BACKUP%2013-11-2019\Documents\Work_HO_DEPA\2020-21\Bulletin\April%202021\CMR%20April%202021.xlsx" TargetMode="External"/></Relationships>
</file>

<file path=word/charts/_rels/chart7.xml.rels><?xml version="1.0" encoding="UTF-8" standalone="yes"?>
<Relationships xmlns="http://schemas.openxmlformats.org/package/2006/relationships"><Relationship Id="rId2" Type="http://schemas.openxmlformats.org/officeDocument/2006/relationships/oleObject" Target="file:///F:\C%20DRIVE%20DATA%20BACKUP%2013-11-2019\Documents\Work_HO_DEPA\2020-21\Bulletin\April%202021\CMR%20April%202021.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F:\C%20DRIVE%20DATA%20BACKUP%2013-11-2019\Documents\Work_HO_DEPA\2020-21\Bulletin\April%202021\CMR%20April%202021.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F:\C%20DRIVE%20DATA%20BACKUP%2013-11-2019\Documents\Work_HO_DEPA\2020-21\Bulletin\April%202021\CMR%20April%2020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2"/>
          <c:order val="0"/>
          <c:tx>
            <c:strRef>
              <c:f>'F1'!$D$1</c:f>
              <c:strCache>
                <c:ptCount val="1"/>
                <c:pt idx="0">
                  <c:v>Nifty </c:v>
                </c:pt>
              </c:strCache>
            </c:strRef>
          </c:tx>
          <c:spPr>
            <a:ln w="28575" cap="rnd">
              <a:solidFill>
                <a:srgbClr val="00B050"/>
              </a:solidFill>
              <a:round/>
            </a:ln>
            <a:effectLst/>
          </c:spPr>
          <c:marker>
            <c:symbol val="none"/>
          </c:marker>
          <c:cat>
            <c:numRef>
              <c:f>'F1'!$A$2:$A$23</c:f>
              <c:numCache>
                <c:formatCode>[$-409]d\-mmm\-yy;@</c:formatCode>
                <c:ptCount val="22"/>
                <c:pt idx="0" formatCode="[$-409]d\-mmm\-yy">
                  <c:v>44255</c:v>
                </c:pt>
                <c:pt idx="1">
                  <c:v>44256</c:v>
                </c:pt>
                <c:pt idx="2">
                  <c:v>44257</c:v>
                </c:pt>
                <c:pt idx="3">
                  <c:v>44258</c:v>
                </c:pt>
                <c:pt idx="4">
                  <c:v>44259</c:v>
                </c:pt>
                <c:pt idx="5">
                  <c:v>44260</c:v>
                </c:pt>
                <c:pt idx="6">
                  <c:v>44263</c:v>
                </c:pt>
                <c:pt idx="7">
                  <c:v>44264</c:v>
                </c:pt>
                <c:pt idx="8">
                  <c:v>44265</c:v>
                </c:pt>
                <c:pt idx="9">
                  <c:v>44267</c:v>
                </c:pt>
                <c:pt idx="10">
                  <c:v>44270</c:v>
                </c:pt>
                <c:pt idx="11">
                  <c:v>44271</c:v>
                </c:pt>
                <c:pt idx="12">
                  <c:v>44272</c:v>
                </c:pt>
                <c:pt idx="13">
                  <c:v>44273</c:v>
                </c:pt>
                <c:pt idx="14">
                  <c:v>44274</c:v>
                </c:pt>
                <c:pt idx="15">
                  <c:v>44277</c:v>
                </c:pt>
                <c:pt idx="16">
                  <c:v>44278</c:v>
                </c:pt>
                <c:pt idx="17">
                  <c:v>44279</c:v>
                </c:pt>
                <c:pt idx="18">
                  <c:v>44280</c:v>
                </c:pt>
                <c:pt idx="19">
                  <c:v>44281</c:v>
                </c:pt>
                <c:pt idx="20">
                  <c:v>44285</c:v>
                </c:pt>
                <c:pt idx="21">
                  <c:v>44286</c:v>
                </c:pt>
              </c:numCache>
            </c:numRef>
          </c:cat>
          <c:val>
            <c:numRef>
              <c:f>'F1'!$D$2:$D$23</c:f>
              <c:numCache>
                <c:formatCode>0.0</c:formatCode>
                <c:ptCount val="22"/>
                <c:pt idx="0">
                  <c:v>100</c:v>
                </c:pt>
                <c:pt idx="1">
                  <c:v>101.59954298771778</c:v>
                </c:pt>
                <c:pt idx="2">
                  <c:v>102.68391475069086</c:v>
                </c:pt>
                <c:pt idx="3">
                  <c:v>104.9311212287023</c:v>
                </c:pt>
                <c:pt idx="4">
                  <c:v>103.79650564554704</c:v>
                </c:pt>
                <c:pt idx="5">
                  <c:v>102.8146863374664</c:v>
                </c:pt>
                <c:pt idx="6">
                  <c:v>102.93926348065784</c:v>
                </c:pt>
                <c:pt idx="7">
                  <c:v>103.91798556694643</c:v>
                </c:pt>
                <c:pt idx="8">
                  <c:v>104.44382500008602</c:v>
                </c:pt>
                <c:pt idx="9">
                  <c:v>103.45374643389324</c:v>
                </c:pt>
                <c:pt idx="10">
                  <c:v>102.75549498766273</c:v>
                </c:pt>
                <c:pt idx="11">
                  <c:v>102.6243792651325</c:v>
                </c:pt>
                <c:pt idx="12">
                  <c:v>101.3225137052064</c:v>
                </c:pt>
                <c:pt idx="13">
                  <c:v>100.19753392318201</c:v>
                </c:pt>
                <c:pt idx="14">
                  <c:v>101.47875133782775</c:v>
                </c:pt>
                <c:pt idx="15">
                  <c:v>101.42644270311753</c:v>
                </c:pt>
                <c:pt idx="16">
                  <c:v>101.96570343068933</c:v>
                </c:pt>
                <c:pt idx="17">
                  <c:v>100.13937498064236</c:v>
                </c:pt>
                <c:pt idx="18">
                  <c:v>98.594205442162817</c:v>
                </c:pt>
                <c:pt idx="19">
                  <c:v>99.849612675208093</c:v>
                </c:pt>
                <c:pt idx="20">
                  <c:v>102.17459383377555</c:v>
                </c:pt>
                <c:pt idx="21">
                  <c:v>101.11190262334686</c:v>
                </c:pt>
              </c:numCache>
            </c:numRef>
          </c:val>
          <c:smooth val="0"/>
          <c:extLst>
            <c:ext xmlns:c16="http://schemas.microsoft.com/office/drawing/2014/chart" uri="{C3380CC4-5D6E-409C-BE32-E72D297353CC}">
              <c16:uniqueId val="{00000000-8401-4EF0-9ACE-BE515A70667E}"/>
            </c:ext>
          </c:extLst>
        </c:ser>
        <c:ser>
          <c:idx val="3"/>
          <c:order val="1"/>
          <c:tx>
            <c:strRef>
              <c:f>'F1'!$E$1</c:f>
              <c:strCache>
                <c:ptCount val="1"/>
                <c:pt idx="0">
                  <c:v>Sensex </c:v>
                </c:pt>
              </c:strCache>
            </c:strRef>
          </c:tx>
          <c:spPr>
            <a:ln w="28575" cap="rnd">
              <a:solidFill>
                <a:srgbClr val="FF0000"/>
              </a:solidFill>
              <a:round/>
            </a:ln>
            <a:effectLst/>
          </c:spPr>
          <c:marker>
            <c:symbol val="none"/>
          </c:marker>
          <c:cat>
            <c:numRef>
              <c:f>'F1'!$A$2:$A$23</c:f>
              <c:numCache>
                <c:formatCode>[$-409]d\-mmm\-yy;@</c:formatCode>
                <c:ptCount val="22"/>
                <c:pt idx="0" formatCode="[$-409]d\-mmm\-yy">
                  <c:v>44255</c:v>
                </c:pt>
                <c:pt idx="1">
                  <c:v>44256</c:v>
                </c:pt>
                <c:pt idx="2">
                  <c:v>44257</c:v>
                </c:pt>
                <c:pt idx="3">
                  <c:v>44258</c:v>
                </c:pt>
                <c:pt idx="4">
                  <c:v>44259</c:v>
                </c:pt>
                <c:pt idx="5">
                  <c:v>44260</c:v>
                </c:pt>
                <c:pt idx="6">
                  <c:v>44263</c:v>
                </c:pt>
                <c:pt idx="7">
                  <c:v>44264</c:v>
                </c:pt>
                <c:pt idx="8">
                  <c:v>44265</c:v>
                </c:pt>
                <c:pt idx="9">
                  <c:v>44267</c:v>
                </c:pt>
                <c:pt idx="10">
                  <c:v>44270</c:v>
                </c:pt>
                <c:pt idx="11">
                  <c:v>44271</c:v>
                </c:pt>
                <c:pt idx="12">
                  <c:v>44272</c:v>
                </c:pt>
                <c:pt idx="13">
                  <c:v>44273</c:v>
                </c:pt>
                <c:pt idx="14">
                  <c:v>44274</c:v>
                </c:pt>
                <c:pt idx="15">
                  <c:v>44277</c:v>
                </c:pt>
                <c:pt idx="16">
                  <c:v>44278</c:v>
                </c:pt>
                <c:pt idx="17">
                  <c:v>44279</c:v>
                </c:pt>
                <c:pt idx="18">
                  <c:v>44280</c:v>
                </c:pt>
                <c:pt idx="19">
                  <c:v>44281</c:v>
                </c:pt>
                <c:pt idx="20">
                  <c:v>44285</c:v>
                </c:pt>
                <c:pt idx="21">
                  <c:v>44286</c:v>
                </c:pt>
              </c:numCache>
            </c:numRef>
          </c:cat>
          <c:val>
            <c:numRef>
              <c:f>'F1'!$E$2:$E$23</c:f>
              <c:numCache>
                <c:formatCode>0.0</c:formatCode>
                <c:ptCount val="22"/>
                <c:pt idx="0" formatCode="0">
                  <c:v>100</c:v>
                </c:pt>
                <c:pt idx="1">
                  <c:v>101.52718972040525</c:v>
                </c:pt>
                <c:pt idx="2">
                  <c:v>102.43767870421156</c:v>
                </c:pt>
                <c:pt idx="3">
                  <c:v>104.77527592164482</c:v>
                </c:pt>
                <c:pt idx="4">
                  <c:v>103.55619217030393</c:v>
                </c:pt>
                <c:pt idx="5">
                  <c:v>102.65851377973807</c:v>
                </c:pt>
                <c:pt idx="6">
                  <c:v>102.73132438519849</c:v>
                </c:pt>
                <c:pt idx="7">
                  <c:v>103.92156902679618</c:v>
                </c:pt>
                <c:pt idx="8">
                  <c:v>104.43894184092507</c:v>
                </c:pt>
                <c:pt idx="9">
                  <c:v>103.44621251450361</c:v>
                </c:pt>
                <c:pt idx="10">
                  <c:v>102.63765837834187</c:v>
                </c:pt>
                <c:pt idx="11">
                  <c:v>102.57427751003618</c:v>
                </c:pt>
                <c:pt idx="12">
                  <c:v>101.42898196109617</c:v>
                </c:pt>
                <c:pt idx="13">
                  <c:v>100.23733202389657</c:v>
                </c:pt>
                <c:pt idx="14">
                  <c:v>101.54429766686309</c:v>
                </c:pt>
                <c:pt idx="15">
                  <c:v>101.36721005442162</c:v>
                </c:pt>
                <c:pt idx="16">
                  <c:v>101.93778043539318</c:v>
                </c:pt>
                <c:pt idx="17">
                  <c:v>100.16358455470154</c:v>
                </c:pt>
                <c:pt idx="18">
                  <c:v>98.656068972722821</c:v>
                </c:pt>
                <c:pt idx="19">
                  <c:v>99.813665949830153</c:v>
                </c:pt>
                <c:pt idx="20">
                  <c:v>102.11118169270505</c:v>
                </c:pt>
                <c:pt idx="21">
                  <c:v>100.83331992531976</c:v>
                </c:pt>
              </c:numCache>
            </c:numRef>
          </c:val>
          <c:smooth val="0"/>
          <c:extLst>
            <c:ext xmlns:c16="http://schemas.microsoft.com/office/drawing/2014/chart" uri="{C3380CC4-5D6E-409C-BE32-E72D297353CC}">
              <c16:uniqueId val="{00000001-8401-4EF0-9ACE-BE515A70667E}"/>
            </c:ext>
          </c:extLst>
        </c:ser>
        <c:dLbls>
          <c:showLegendKey val="0"/>
          <c:showVal val="0"/>
          <c:showCatName val="0"/>
          <c:showSerName val="0"/>
          <c:showPercent val="0"/>
          <c:showBubbleSize val="0"/>
        </c:dLbls>
        <c:smooth val="0"/>
        <c:axId val="1671506863"/>
        <c:axId val="1671507695"/>
      </c:lineChart>
      <c:dateAx>
        <c:axId val="1671506863"/>
        <c:scaling>
          <c:orientation val="minMax"/>
        </c:scaling>
        <c:delete val="0"/>
        <c:axPos val="b"/>
        <c:numFmt formatCode="[$-409]d\-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671507695"/>
        <c:crosses val="autoZero"/>
        <c:auto val="1"/>
        <c:lblOffset val="100"/>
        <c:baseTimeUnit val="days"/>
        <c:majorUnit val="1"/>
        <c:majorTimeUnit val="days"/>
        <c:minorUnit val="1"/>
        <c:minorTimeUnit val="days"/>
      </c:dateAx>
      <c:valAx>
        <c:axId val="1671507695"/>
        <c:scaling>
          <c:orientation val="minMax"/>
          <c:max val="105"/>
          <c:min val="9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671506863"/>
        <c:crosses val="autoZero"/>
        <c:crossBetween val="between"/>
        <c:majorUnit val="2"/>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'F11'!$B$3</c:f>
              <c:strCache>
                <c:ptCount val="1"/>
                <c:pt idx="0">
                  <c:v>BSE</c:v>
                </c:pt>
              </c:strCache>
            </c:strRef>
          </c:tx>
          <c:spPr>
            <a:solidFill>
              <a:srgbClr val="FF000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'F11'!$A$5:$A$16</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'F11'!$C$5:$C$16</c:f>
              <c:numCache>
                <c:formatCode>#,##0;\-#,##0;0</c:formatCode>
                <c:ptCount val="12"/>
                <c:pt idx="0">
                  <c:v>65285.07</c:v>
                </c:pt>
                <c:pt idx="1">
                  <c:v>64964.767999999996</c:v>
                </c:pt>
                <c:pt idx="2">
                  <c:v>76987.05</c:v>
                </c:pt>
                <c:pt idx="3">
                  <c:v>80074.63</c:v>
                </c:pt>
                <c:pt idx="4">
                  <c:v>53915.519999999997</c:v>
                </c:pt>
                <c:pt idx="5">
                  <c:v>50693.919999999998</c:v>
                </c:pt>
                <c:pt idx="6">
                  <c:v>42448.36</c:v>
                </c:pt>
                <c:pt idx="7">
                  <c:v>35255.333224302012</c:v>
                </c:pt>
                <c:pt idx="8">
                  <c:v>34626.160000000003</c:v>
                </c:pt>
                <c:pt idx="9">
                  <c:v>48384.845524290002</c:v>
                </c:pt>
                <c:pt idx="10">
                  <c:v>43534.32</c:v>
                </c:pt>
                <c:pt idx="11">
                  <c:v>64043.87</c:v>
                </c:pt>
              </c:numCache>
            </c:numRef>
          </c:val>
          <c:extLst>
            <c:ext xmlns:c16="http://schemas.microsoft.com/office/drawing/2014/chart" uri="{C3380CC4-5D6E-409C-BE32-E72D297353CC}">
              <c16:uniqueId val="{00000000-A9B1-4C20-9CB5-52976AA95147}"/>
            </c:ext>
          </c:extLst>
        </c:ser>
        <c:ser>
          <c:idx val="1"/>
          <c:order val="1"/>
          <c:tx>
            <c:strRef>
              <c:f>'F11'!$D$3</c:f>
              <c:strCache>
                <c:ptCount val="1"/>
                <c:pt idx="0">
                  <c:v>NSE</c:v>
                </c:pt>
              </c:strCache>
            </c:strRef>
          </c:tx>
          <c:spPr>
            <a:solidFill>
              <a:srgbClr val="00B050"/>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Palatino Linotype" panose="02040502050505030304" pitchFamily="18" charset="0"/>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'F11'!$A$5:$A$16</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'F11'!$E$5:$E$16</c:f>
              <c:numCache>
                <c:formatCode>0\,00\,000;\-0\,00\,000;0</c:formatCode>
                <c:ptCount val="12"/>
                <c:pt idx="0">
                  <c:v>149229.69</c:v>
                </c:pt>
                <c:pt idx="1">
                  <c:v>131841.63199999998</c:v>
                </c:pt>
                <c:pt idx="2">
                  <c:v>130256.79</c:v>
                </c:pt>
                <c:pt idx="3">
                  <c:v>121730.01</c:v>
                </c:pt>
                <c:pt idx="4" formatCode="#,##0">
                  <c:v>89136.44</c:v>
                </c:pt>
                <c:pt idx="5" formatCode="#,##0">
                  <c:v>90782.64</c:v>
                </c:pt>
                <c:pt idx="6" formatCode="#,##0">
                  <c:v>88404.000000000015</c:v>
                </c:pt>
                <c:pt idx="7" formatCode="#,##0">
                  <c:v>79665.3</c:v>
                </c:pt>
                <c:pt idx="8" formatCode="#,##0">
                  <c:v>76874.000000000015</c:v>
                </c:pt>
                <c:pt idx="9" formatCode="#,##0">
                  <c:v>83618.37999999999</c:v>
                </c:pt>
                <c:pt idx="10" formatCode="#,##0">
                  <c:v>75565.039999999994</c:v>
                </c:pt>
                <c:pt idx="11" formatCode="#,##0">
                  <c:v>95400.379999999976</c:v>
                </c:pt>
              </c:numCache>
            </c:numRef>
          </c:val>
          <c:extLst>
            <c:ext xmlns:c16="http://schemas.microsoft.com/office/drawing/2014/chart" uri="{C3380CC4-5D6E-409C-BE32-E72D297353CC}">
              <c16:uniqueId val="{00000001-A9B1-4C20-9CB5-52976AA95147}"/>
            </c:ext>
          </c:extLst>
        </c:ser>
        <c:dLbls>
          <c:showLegendKey val="0"/>
          <c:showVal val="0"/>
          <c:showCatName val="0"/>
          <c:showSerName val="0"/>
          <c:showPercent val="0"/>
          <c:showBubbleSize val="0"/>
        </c:dLbls>
        <c:gapWidth val="219"/>
        <c:overlap val="-27"/>
        <c:axId val="1957239791"/>
        <c:axId val="1957237711"/>
      </c:barChart>
      <c:dateAx>
        <c:axId val="1957239791"/>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57237711"/>
        <c:crosses val="autoZero"/>
        <c:auto val="1"/>
        <c:lblOffset val="100"/>
        <c:baseTimeUnit val="months"/>
      </c:dateAx>
      <c:valAx>
        <c:axId val="1957237711"/>
        <c:scaling>
          <c:orientation val="minMax"/>
          <c:min val="30000"/>
        </c:scaling>
        <c:delete val="1"/>
        <c:axPos val="l"/>
        <c:numFmt formatCode="#,##0;\-#,##0;0" sourceLinked="1"/>
        <c:majorTickMark val="none"/>
        <c:minorTickMark val="none"/>
        <c:tickLblPos val="nextTo"/>
        <c:crossAx val="1957239791"/>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'F12'!$B$2</c:f>
              <c:strCache>
                <c:ptCount val="1"/>
                <c:pt idx="0">
                  <c:v>Equity</c:v>
                </c:pt>
              </c:strCache>
            </c:strRef>
          </c:tx>
          <c:spPr>
            <a:solidFill>
              <a:schemeClr val="accent1"/>
            </a:solidFill>
            <a:ln>
              <a:noFill/>
            </a:ln>
            <a:effectLst/>
          </c:spPr>
          <c:invertIfNegative val="0"/>
          <c:cat>
            <c:numRef>
              <c:f>'F12'!$A$3:$A$14</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'F12'!$B$3:$B$14</c:f>
              <c:numCache>
                <c:formatCode>[&gt;9999999]##\,##\,##\,##0;[&gt;99999]##\,##\,##0;##,##0</c:formatCode>
                <c:ptCount val="12"/>
                <c:pt idx="0">
                  <c:v>-7965.5</c:v>
                </c:pt>
                <c:pt idx="1">
                  <c:v>6522.45</c:v>
                </c:pt>
                <c:pt idx="2">
                  <c:v>-501.5</c:v>
                </c:pt>
                <c:pt idx="3" formatCode="#,##0;\-#,##0;0">
                  <c:v>-9195.0400000000009</c:v>
                </c:pt>
                <c:pt idx="4" formatCode="#,##0;\-#,##0;0">
                  <c:v>-9213.44</c:v>
                </c:pt>
                <c:pt idx="5" formatCode="#,##0;\-#,##0;0">
                  <c:v>-4134.37</c:v>
                </c:pt>
                <c:pt idx="6" formatCode="#,##0;\-#,##0;0">
                  <c:v>-14491.79</c:v>
                </c:pt>
                <c:pt idx="7" formatCode="#,##0;\-#,##0;0">
                  <c:v>-30760.07</c:v>
                </c:pt>
                <c:pt idx="8" formatCode="#,##0;\-#,##0;0">
                  <c:v>-26427.83</c:v>
                </c:pt>
                <c:pt idx="9" formatCode="#,##0;\-#,##0;0">
                  <c:v>-13031.78</c:v>
                </c:pt>
                <c:pt idx="10" formatCode="#,##0;\-#,##0;0">
                  <c:v>-16306</c:v>
                </c:pt>
                <c:pt idx="11" formatCode="#,##0;\-#,##0;0">
                  <c:v>4772.83</c:v>
                </c:pt>
              </c:numCache>
            </c:numRef>
          </c:val>
          <c:extLst>
            <c:ext xmlns:c16="http://schemas.microsoft.com/office/drawing/2014/chart" uri="{C3380CC4-5D6E-409C-BE32-E72D297353CC}">
              <c16:uniqueId val="{00000000-DCED-4693-89D1-4B3404E02BC5}"/>
            </c:ext>
          </c:extLst>
        </c:ser>
        <c:ser>
          <c:idx val="1"/>
          <c:order val="1"/>
          <c:tx>
            <c:strRef>
              <c:f>'F12'!$C$2</c:f>
              <c:strCache>
                <c:ptCount val="1"/>
                <c:pt idx="0">
                  <c:v>Debt</c:v>
                </c:pt>
              </c:strCache>
            </c:strRef>
          </c:tx>
          <c:spPr>
            <a:solidFill>
              <a:schemeClr val="accent2"/>
            </a:solidFill>
            <a:ln>
              <a:noFill/>
            </a:ln>
            <a:effectLst/>
          </c:spPr>
          <c:invertIfNegative val="0"/>
          <c:cat>
            <c:numRef>
              <c:f>'F12'!$A$3:$A$14</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'F12'!$C$3:$C$14</c:f>
              <c:numCache>
                <c:formatCode>[&gt;9999999]##\,##\,##\,##0;[&gt;99999]##\,##\,##0;##,##0</c:formatCode>
                <c:ptCount val="12"/>
                <c:pt idx="0">
                  <c:v>-9794.5400000000009</c:v>
                </c:pt>
                <c:pt idx="1">
                  <c:v>10699.37</c:v>
                </c:pt>
                <c:pt idx="2">
                  <c:v>41364.71</c:v>
                </c:pt>
                <c:pt idx="3" formatCode="#,##0;\-#,##0;0">
                  <c:v>31897.85</c:v>
                </c:pt>
                <c:pt idx="4" formatCode="#,##0;\-#,##0;0">
                  <c:v>25780.28</c:v>
                </c:pt>
                <c:pt idx="5" formatCode="#,##0;\-#,##0;0">
                  <c:v>17004.97</c:v>
                </c:pt>
                <c:pt idx="6" formatCode="#,##0;\-#,##0;0">
                  <c:v>31975.11</c:v>
                </c:pt>
                <c:pt idx="7" formatCode="#,##0;\-#,##0;0">
                  <c:v>20349.349999999999</c:v>
                </c:pt>
                <c:pt idx="8" formatCode="#,##0;\-#,##0;0">
                  <c:v>23368.42</c:v>
                </c:pt>
                <c:pt idx="9" formatCode="#,##0;\-#,##0;0">
                  <c:v>11831.74</c:v>
                </c:pt>
                <c:pt idx="10" formatCode="#,##0;\-#,##0;0">
                  <c:v>8161.78</c:v>
                </c:pt>
                <c:pt idx="11" formatCode="#,##0;\-#,##0;0">
                  <c:v>15661.48</c:v>
                </c:pt>
              </c:numCache>
            </c:numRef>
          </c:val>
          <c:extLst>
            <c:ext xmlns:c16="http://schemas.microsoft.com/office/drawing/2014/chart" uri="{C3380CC4-5D6E-409C-BE32-E72D297353CC}">
              <c16:uniqueId val="{00000001-DCED-4693-89D1-4B3404E02BC5}"/>
            </c:ext>
          </c:extLst>
        </c:ser>
        <c:dLbls>
          <c:showLegendKey val="0"/>
          <c:showVal val="0"/>
          <c:showCatName val="0"/>
          <c:showSerName val="0"/>
          <c:showPercent val="0"/>
          <c:showBubbleSize val="0"/>
        </c:dLbls>
        <c:gapWidth val="219"/>
        <c:overlap val="-27"/>
        <c:axId val="1066097183"/>
        <c:axId val="1066098015"/>
      </c:barChart>
      <c:lineChart>
        <c:grouping val="standard"/>
        <c:varyColors val="0"/>
        <c:ser>
          <c:idx val="2"/>
          <c:order val="2"/>
          <c:tx>
            <c:strRef>
              <c:f>'F12'!$D$2</c:f>
              <c:strCache>
                <c:ptCount val="1"/>
                <c:pt idx="0">
                  <c:v>Total</c:v>
                </c:pt>
              </c:strCache>
            </c:strRef>
          </c:tx>
          <c:spPr>
            <a:ln w="28575" cap="rnd">
              <a:solidFill>
                <a:schemeClr val="accent3"/>
              </a:solidFill>
              <a:round/>
            </a:ln>
            <a:effectLst/>
          </c:spPr>
          <c:marker>
            <c:symbol val="none"/>
          </c:marker>
          <c:cat>
            <c:numRef>
              <c:f>'F12'!$A$3:$A$14</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'F12'!$D$3:$D$14</c:f>
              <c:numCache>
                <c:formatCode>[&gt;9999999]##\,##\,##\,##0;[&gt;99999]##\,##\,##0;##,##0</c:formatCode>
                <c:ptCount val="12"/>
                <c:pt idx="0">
                  <c:v>-17760.04</c:v>
                </c:pt>
                <c:pt idx="1">
                  <c:v>17221.82</c:v>
                </c:pt>
                <c:pt idx="2">
                  <c:v>40863.21</c:v>
                </c:pt>
                <c:pt idx="3">
                  <c:v>22702.809999999998</c:v>
                </c:pt>
                <c:pt idx="4">
                  <c:v>16566.839999999997</c:v>
                </c:pt>
                <c:pt idx="5">
                  <c:v>12870.600000000002</c:v>
                </c:pt>
                <c:pt idx="6">
                  <c:v>17483.32</c:v>
                </c:pt>
                <c:pt idx="7">
                  <c:v>-10410.720000000001</c:v>
                </c:pt>
                <c:pt idx="8">
                  <c:v>-3059.4100000000035</c:v>
                </c:pt>
                <c:pt idx="9">
                  <c:v>-1200.0400000000009</c:v>
                </c:pt>
                <c:pt idx="10">
                  <c:v>-8144.22</c:v>
                </c:pt>
                <c:pt idx="11">
                  <c:v>20434.309999999998</c:v>
                </c:pt>
              </c:numCache>
            </c:numRef>
          </c:val>
          <c:smooth val="0"/>
          <c:extLst>
            <c:ext xmlns:c16="http://schemas.microsoft.com/office/drawing/2014/chart" uri="{C3380CC4-5D6E-409C-BE32-E72D297353CC}">
              <c16:uniqueId val="{00000002-DCED-4693-89D1-4B3404E02BC5}"/>
            </c:ext>
          </c:extLst>
        </c:ser>
        <c:dLbls>
          <c:showLegendKey val="0"/>
          <c:showVal val="0"/>
          <c:showCatName val="0"/>
          <c:showSerName val="0"/>
          <c:showPercent val="0"/>
          <c:showBubbleSize val="0"/>
        </c:dLbls>
        <c:marker val="1"/>
        <c:smooth val="0"/>
        <c:axId val="1066097183"/>
        <c:axId val="1066098015"/>
      </c:lineChart>
      <c:dateAx>
        <c:axId val="1066097183"/>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066098015"/>
        <c:crosses val="autoZero"/>
        <c:auto val="1"/>
        <c:lblOffset val="100"/>
        <c:baseTimeUnit val="months"/>
      </c:dateAx>
      <c:valAx>
        <c:axId val="1066098015"/>
        <c:scaling>
          <c:orientation val="minMax"/>
        </c:scaling>
        <c:delete val="0"/>
        <c:axPos val="l"/>
        <c:numFmt formatCode="[&gt;9999999]##\,##\,##\,##0;[&gt;99999]##\,##\,##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066097183"/>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 13'!$B$3</c:f>
              <c:strCache>
                <c:ptCount val="1"/>
                <c:pt idx="0">
                  <c:v>Equity (LHS)</c:v>
                </c:pt>
              </c:strCache>
            </c:strRef>
          </c:tx>
          <c:spPr>
            <a:solidFill>
              <a:schemeClr val="accent1"/>
            </a:solidFill>
            <a:ln>
              <a:noFill/>
            </a:ln>
            <a:effectLst/>
          </c:spPr>
          <c:invertIfNegative val="0"/>
          <c:cat>
            <c:numRef>
              <c:f>'F 13'!$A$4:$A$15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 13'!$B$4:$B$15</c:f>
              <c:numCache>
                <c:formatCode>#,##0</c:formatCode>
                <c:ptCount val="12"/>
                <c:pt idx="0">
                  <c:v>-6884</c:v>
                </c:pt>
                <c:pt idx="1">
                  <c:v>14569</c:v>
                </c:pt>
                <c:pt idx="2">
                  <c:v>21832</c:v>
                </c:pt>
                <c:pt idx="3">
                  <c:v>7563</c:v>
                </c:pt>
                <c:pt idx="4">
                  <c:v>47080</c:v>
                </c:pt>
                <c:pt idx="5">
                  <c:v>-7783</c:v>
                </c:pt>
                <c:pt idx="6">
                  <c:v>19541</c:v>
                </c:pt>
                <c:pt idx="7">
                  <c:v>60358</c:v>
                </c:pt>
                <c:pt idx="8">
                  <c:v>62016</c:v>
                </c:pt>
                <c:pt idx="9">
                  <c:v>19473</c:v>
                </c:pt>
                <c:pt idx="10">
                  <c:v>25787</c:v>
                </c:pt>
                <c:pt idx="11">
                  <c:v>10482</c:v>
                </c:pt>
              </c:numCache>
            </c:numRef>
          </c:val>
          <c:extLst>
            <c:ext xmlns:c16="http://schemas.microsoft.com/office/drawing/2014/chart" uri="{C3380CC4-5D6E-409C-BE32-E72D297353CC}">
              <c16:uniqueId val="{00000000-9F3A-4DD4-AF39-DE357F3764D2}"/>
            </c:ext>
          </c:extLst>
        </c:ser>
        <c:ser>
          <c:idx val="1"/>
          <c:order val="1"/>
          <c:tx>
            <c:strRef>
              <c:f>'F 13'!$C$3</c:f>
              <c:strCache>
                <c:ptCount val="1"/>
                <c:pt idx="0">
                  <c:v>Debt (LHS)</c:v>
                </c:pt>
              </c:strCache>
            </c:strRef>
          </c:tx>
          <c:spPr>
            <a:solidFill>
              <a:schemeClr val="accent2"/>
            </a:solidFill>
            <a:ln>
              <a:noFill/>
            </a:ln>
            <a:effectLst/>
          </c:spPr>
          <c:invertIfNegative val="0"/>
          <c:cat>
            <c:numRef>
              <c:f>'F 13'!$A$4:$A$15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 13'!$C$4:$C$15</c:f>
              <c:numCache>
                <c:formatCode>#,##0</c:formatCode>
                <c:ptCount val="12"/>
                <c:pt idx="0">
                  <c:v>-12552</c:v>
                </c:pt>
                <c:pt idx="1">
                  <c:v>-22935</c:v>
                </c:pt>
                <c:pt idx="2">
                  <c:v>-1545</c:v>
                </c:pt>
                <c:pt idx="3">
                  <c:v>-2476</c:v>
                </c:pt>
                <c:pt idx="4">
                  <c:v>-3310</c:v>
                </c:pt>
                <c:pt idx="5">
                  <c:v>3958</c:v>
                </c:pt>
                <c:pt idx="6">
                  <c:v>1641</c:v>
                </c:pt>
                <c:pt idx="7">
                  <c:v>-1806</c:v>
                </c:pt>
                <c:pt idx="8">
                  <c:v>4079</c:v>
                </c:pt>
                <c:pt idx="9">
                  <c:v>-2518</c:v>
                </c:pt>
                <c:pt idx="10">
                  <c:v>-6488</c:v>
                </c:pt>
                <c:pt idx="11">
                  <c:v>-6492</c:v>
                </c:pt>
              </c:numCache>
            </c:numRef>
          </c:val>
          <c:extLst>
            <c:ext xmlns:c16="http://schemas.microsoft.com/office/drawing/2014/chart" uri="{C3380CC4-5D6E-409C-BE32-E72D297353CC}">
              <c16:uniqueId val="{00000001-9F3A-4DD4-AF39-DE357F3764D2}"/>
            </c:ext>
          </c:extLst>
        </c:ser>
        <c:dLbls>
          <c:showLegendKey val="0"/>
          <c:showVal val="0"/>
          <c:showCatName val="0"/>
          <c:showSerName val="0"/>
          <c:showPercent val="0"/>
          <c:showBubbleSize val="0"/>
        </c:dLbls>
        <c:gapWidth val="219"/>
        <c:overlap val="-27"/>
        <c:axId val="898351007"/>
        <c:axId val="898352255"/>
      </c:barChart>
      <c:barChart>
        <c:barDir val="col"/>
        <c:grouping val="clustered"/>
        <c:varyColors val="0"/>
        <c:ser>
          <c:idx val="2"/>
          <c:order val="2"/>
          <c:tx>
            <c:strRef>
              <c:f>'F 13'!$D$3</c:f>
              <c:strCache>
                <c:ptCount val="1"/>
                <c:pt idx="0">
                  <c:v>Debt-VRR (RHS)</c:v>
                </c:pt>
              </c:strCache>
            </c:strRef>
          </c:tx>
          <c:spPr>
            <a:solidFill>
              <a:schemeClr val="accent3"/>
            </a:solidFill>
            <a:ln>
              <a:noFill/>
            </a:ln>
            <a:effectLst/>
          </c:spPr>
          <c:invertIfNegative val="0"/>
          <c:cat>
            <c:numRef>
              <c:f>'F 13'!$A$4:$A$15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 13'!$D$4:$D$15</c:f>
              <c:numCache>
                <c:formatCode>#,##0</c:formatCode>
                <c:ptCount val="12"/>
                <c:pt idx="0">
                  <c:v>4033</c:v>
                </c:pt>
                <c:pt idx="1">
                  <c:v>1000</c:v>
                </c:pt>
                <c:pt idx="2">
                  <c:v>3766</c:v>
                </c:pt>
                <c:pt idx="3">
                  <c:v>-1786</c:v>
                </c:pt>
                <c:pt idx="4">
                  <c:v>2762</c:v>
                </c:pt>
                <c:pt idx="5">
                  <c:v>406</c:v>
                </c:pt>
                <c:pt idx="6">
                  <c:v>851</c:v>
                </c:pt>
                <c:pt idx="7">
                  <c:v>4399</c:v>
                </c:pt>
                <c:pt idx="8">
                  <c:v>2463</c:v>
                </c:pt>
                <c:pt idx="9">
                  <c:v>-2306</c:v>
                </c:pt>
                <c:pt idx="10">
                  <c:v>4364</c:v>
                </c:pt>
                <c:pt idx="11">
                  <c:v>13314</c:v>
                </c:pt>
              </c:numCache>
            </c:numRef>
          </c:val>
          <c:extLst>
            <c:ext xmlns:c16="http://schemas.microsoft.com/office/drawing/2014/chart" uri="{C3380CC4-5D6E-409C-BE32-E72D297353CC}">
              <c16:uniqueId val="{00000002-9F3A-4DD4-AF39-DE357F3764D2}"/>
            </c:ext>
          </c:extLst>
        </c:ser>
        <c:ser>
          <c:idx val="3"/>
          <c:order val="3"/>
          <c:tx>
            <c:strRef>
              <c:f>'F 13'!$E$3</c:f>
              <c:strCache>
                <c:ptCount val="1"/>
                <c:pt idx="0">
                  <c:v>Hybrid  (RHS)</c:v>
                </c:pt>
              </c:strCache>
            </c:strRef>
          </c:tx>
          <c:spPr>
            <a:solidFill>
              <a:schemeClr val="accent4"/>
            </a:solidFill>
            <a:ln>
              <a:noFill/>
            </a:ln>
            <a:effectLst/>
          </c:spPr>
          <c:invertIfNegative val="0"/>
          <c:cat>
            <c:numRef>
              <c:f>'F 13'!$A$4:$A$15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 13'!$E$4:$E$15</c:f>
              <c:numCache>
                <c:formatCode>#,##0</c:formatCode>
                <c:ptCount val="12"/>
                <c:pt idx="0">
                  <c:v>544</c:v>
                </c:pt>
                <c:pt idx="1">
                  <c:v>11</c:v>
                </c:pt>
                <c:pt idx="2">
                  <c:v>1957</c:v>
                </c:pt>
                <c:pt idx="3">
                  <c:v>1</c:v>
                </c:pt>
                <c:pt idx="4">
                  <c:v>3347</c:v>
                </c:pt>
                <c:pt idx="5">
                  <c:v>2222</c:v>
                </c:pt>
                <c:pt idx="6">
                  <c:v>-207</c:v>
                </c:pt>
                <c:pt idx="7">
                  <c:v>-169</c:v>
                </c:pt>
                <c:pt idx="8">
                  <c:v>2489</c:v>
                </c:pt>
                <c:pt idx="9">
                  <c:v>-17</c:v>
                </c:pt>
                <c:pt idx="10">
                  <c:v>350</c:v>
                </c:pt>
                <c:pt idx="11">
                  <c:v>-281</c:v>
                </c:pt>
              </c:numCache>
            </c:numRef>
          </c:val>
          <c:extLst>
            <c:ext xmlns:c16="http://schemas.microsoft.com/office/drawing/2014/chart" uri="{C3380CC4-5D6E-409C-BE32-E72D297353CC}">
              <c16:uniqueId val="{00000003-9F3A-4DD4-AF39-DE357F3764D2}"/>
            </c:ext>
          </c:extLst>
        </c:ser>
        <c:dLbls>
          <c:showLegendKey val="0"/>
          <c:showVal val="0"/>
          <c:showCatName val="0"/>
          <c:showSerName val="0"/>
          <c:showPercent val="0"/>
          <c:showBubbleSize val="0"/>
        </c:dLbls>
        <c:gapWidth val="219"/>
        <c:overlap val="-27"/>
        <c:axId val="1301685743"/>
        <c:axId val="1192661679"/>
      </c:barChart>
      <c:lineChart>
        <c:grouping val="standard"/>
        <c:varyColors val="0"/>
        <c:ser>
          <c:idx val="4"/>
          <c:order val="4"/>
          <c:tx>
            <c:strRef>
              <c:f>'F 13'!$F$3</c:f>
              <c:strCache>
                <c:ptCount val="1"/>
                <c:pt idx="0">
                  <c:v>Total (LHS)</c:v>
                </c:pt>
              </c:strCache>
            </c:strRef>
          </c:tx>
          <c:spPr>
            <a:ln w="28575" cap="rnd">
              <a:solidFill>
                <a:schemeClr val="accent5"/>
              </a:solidFill>
              <a:round/>
            </a:ln>
            <a:effectLst/>
          </c:spPr>
          <c:marker>
            <c:symbol val="none"/>
          </c:marker>
          <c:cat>
            <c:numRef>
              <c:f>'F 13'!$A$4:$A$15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 13'!$F$4:$F$15</c:f>
              <c:numCache>
                <c:formatCode>#,##0</c:formatCode>
                <c:ptCount val="12"/>
                <c:pt idx="0">
                  <c:v>-14859</c:v>
                </c:pt>
                <c:pt idx="1">
                  <c:v>-7356</c:v>
                </c:pt>
                <c:pt idx="2">
                  <c:v>26009</c:v>
                </c:pt>
                <c:pt idx="3">
                  <c:v>3301</c:v>
                </c:pt>
                <c:pt idx="4">
                  <c:v>49879</c:v>
                </c:pt>
                <c:pt idx="5">
                  <c:v>-1196</c:v>
                </c:pt>
                <c:pt idx="6">
                  <c:v>21826</c:v>
                </c:pt>
                <c:pt idx="7">
                  <c:v>62782</c:v>
                </c:pt>
                <c:pt idx="8">
                  <c:v>71046</c:v>
                </c:pt>
                <c:pt idx="9">
                  <c:v>14631</c:v>
                </c:pt>
                <c:pt idx="10">
                  <c:v>24013</c:v>
                </c:pt>
                <c:pt idx="11">
                  <c:v>17023</c:v>
                </c:pt>
              </c:numCache>
            </c:numRef>
          </c:val>
          <c:smooth val="0"/>
          <c:extLst>
            <c:ext xmlns:c16="http://schemas.microsoft.com/office/drawing/2014/chart" uri="{C3380CC4-5D6E-409C-BE32-E72D297353CC}">
              <c16:uniqueId val="{00000004-9F3A-4DD4-AF39-DE357F3764D2}"/>
            </c:ext>
          </c:extLst>
        </c:ser>
        <c:dLbls>
          <c:showLegendKey val="0"/>
          <c:showVal val="0"/>
          <c:showCatName val="0"/>
          <c:showSerName val="0"/>
          <c:showPercent val="0"/>
          <c:showBubbleSize val="0"/>
        </c:dLbls>
        <c:marker val="1"/>
        <c:smooth val="0"/>
        <c:axId val="898351007"/>
        <c:axId val="898352255"/>
      </c:lineChart>
      <c:dateAx>
        <c:axId val="898351007"/>
        <c:scaling>
          <c:orientation val="minMax"/>
        </c:scaling>
        <c:delete val="0"/>
        <c:axPos val="b"/>
        <c:numFmt formatCode="[$-409]mmm\-yy"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98352255"/>
        <c:crosses val="autoZero"/>
        <c:auto val="1"/>
        <c:lblOffset val="100"/>
        <c:baseTimeUnit val="months"/>
      </c:dateAx>
      <c:valAx>
        <c:axId val="898352255"/>
        <c:scaling>
          <c:orientation val="minMax"/>
          <c:max val="80000"/>
          <c:min val="-40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898351007"/>
        <c:crosses val="autoZero"/>
        <c:crossBetween val="between"/>
      </c:valAx>
      <c:valAx>
        <c:axId val="1192661679"/>
        <c:scaling>
          <c:orientation val="minMax"/>
          <c:max val="8000"/>
          <c:min val="-4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301685743"/>
        <c:crosses val="max"/>
        <c:crossBetween val="between"/>
      </c:valAx>
      <c:dateAx>
        <c:axId val="1301685743"/>
        <c:scaling>
          <c:orientation val="minMax"/>
        </c:scaling>
        <c:delete val="1"/>
        <c:axPos val="b"/>
        <c:numFmt formatCode="[$-409]mmm\-yy" sourceLinked="1"/>
        <c:majorTickMark val="out"/>
        <c:minorTickMark val="none"/>
        <c:tickLblPos val="nextTo"/>
        <c:crossAx val="1192661679"/>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'F14'!$I$4:$I$5</c:f>
              <c:strCache>
                <c:ptCount val="2"/>
                <c:pt idx="0">
                  <c:v>Closed Value (RHS)</c:v>
                </c:pt>
              </c:strCache>
            </c:strRef>
          </c:tx>
          <c:spPr>
            <a:solidFill>
              <a:srgbClr val="FF0000"/>
            </a:solidFill>
            <a:ln>
              <a:noFill/>
            </a:ln>
            <a:effectLst/>
          </c:spPr>
          <c:invertIfNegative val="0"/>
          <c:cat>
            <c:numRef>
              <c:f>'F14'!$A$6:$A$17</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'F14'!$I$6:$I$17</c:f>
              <c:numCache>
                <c:formatCode>General</c:formatCode>
                <c:ptCount val="12"/>
                <c:pt idx="0" formatCode="#,##0;\-#,##0;0.0">
                  <c:v>3.72</c:v>
                </c:pt>
                <c:pt idx="1">
                  <c:v>0</c:v>
                </c:pt>
                <c:pt idx="2" formatCode="#,##0;\-#,##0;0.0">
                  <c:v>1088.1099999999999</c:v>
                </c:pt>
                <c:pt idx="3" formatCode="#,##0;\-#,##0;0.0">
                  <c:v>528.16</c:v>
                </c:pt>
                <c:pt idx="4" formatCode="#,##0;\-#,##0;0.0">
                  <c:v>3861.67</c:v>
                </c:pt>
                <c:pt idx="5" formatCode="#,##0;\-#,##0;0.0">
                  <c:v>3010.3900000000003</c:v>
                </c:pt>
                <c:pt idx="6" formatCode="#,##0;\-#,##0;0.0">
                  <c:v>480.5</c:v>
                </c:pt>
                <c:pt idx="7" formatCode="#,##0;\-#,##0;0.0">
                  <c:v>0</c:v>
                </c:pt>
                <c:pt idx="8" formatCode="#,##0;\-#,##0;0.0">
                  <c:v>47.49</c:v>
                </c:pt>
                <c:pt idx="9" formatCode="#,##0;\-#,##0;0.0">
                  <c:v>140.80000000000001</c:v>
                </c:pt>
                <c:pt idx="10" formatCode="#,##0;\-#,##0;0.0">
                  <c:v>211.18</c:v>
                </c:pt>
                <c:pt idx="11" formatCode="#,##0;\-#,##0;0.0">
                  <c:v>440.03000000000003</c:v>
                </c:pt>
              </c:numCache>
            </c:numRef>
          </c:val>
          <c:extLst>
            <c:ext xmlns:c16="http://schemas.microsoft.com/office/drawing/2014/chart" uri="{C3380CC4-5D6E-409C-BE32-E72D297353CC}">
              <c16:uniqueId val="{00000000-8E2A-418C-9136-509ACF0972BA}"/>
            </c:ext>
          </c:extLst>
        </c:ser>
        <c:dLbls>
          <c:showLegendKey val="0"/>
          <c:showVal val="0"/>
          <c:showCatName val="0"/>
          <c:showSerName val="0"/>
          <c:showPercent val="0"/>
          <c:showBubbleSize val="0"/>
        </c:dLbls>
        <c:gapWidth val="219"/>
        <c:axId val="1342813983"/>
        <c:axId val="1342813567"/>
      </c:barChart>
      <c:lineChart>
        <c:grouping val="standard"/>
        <c:varyColors val="0"/>
        <c:ser>
          <c:idx val="0"/>
          <c:order val="0"/>
          <c:tx>
            <c:strRef>
              <c:f>'F14'!$H$4:$H$5</c:f>
              <c:strCache>
                <c:ptCount val="2"/>
                <c:pt idx="0">
                  <c:v> Open Offers (LHS)</c:v>
                </c:pt>
              </c:strCache>
            </c:strRef>
          </c:tx>
          <c:spPr>
            <a:ln w="28575" cap="rnd">
              <a:solidFill>
                <a:srgbClr val="00B050"/>
              </a:solidFill>
              <a:round/>
            </a:ln>
            <a:effectLst/>
          </c:spPr>
          <c:marker>
            <c:symbol val="none"/>
          </c:marker>
          <c:cat>
            <c:numRef>
              <c:f>'F14'!$A$6:$A$17</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'F14'!$H$6:$H$17</c:f>
              <c:numCache>
                <c:formatCode>General</c:formatCode>
                <c:ptCount val="12"/>
                <c:pt idx="0">
                  <c:v>3</c:v>
                </c:pt>
                <c:pt idx="1">
                  <c:v>0</c:v>
                </c:pt>
                <c:pt idx="2">
                  <c:v>4</c:v>
                </c:pt>
                <c:pt idx="3">
                  <c:v>2</c:v>
                </c:pt>
                <c:pt idx="4">
                  <c:v>9</c:v>
                </c:pt>
                <c:pt idx="5">
                  <c:v>6</c:v>
                </c:pt>
                <c:pt idx="6">
                  <c:v>6</c:v>
                </c:pt>
                <c:pt idx="7">
                  <c:v>0</c:v>
                </c:pt>
                <c:pt idx="8">
                  <c:v>4</c:v>
                </c:pt>
                <c:pt idx="9">
                  <c:v>3</c:v>
                </c:pt>
                <c:pt idx="10">
                  <c:v>5</c:v>
                </c:pt>
                <c:pt idx="11">
                  <c:v>3</c:v>
                </c:pt>
              </c:numCache>
            </c:numRef>
          </c:val>
          <c:smooth val="0"/>
          <c:extLst>
            <c:ext xmlns:c16="http://schemas.microsoft.com/office/drawing/2014/chart" uri="{C3380CC4-5D6E-409C-BE32-E72D297353CC}">
              <c16:uniqueId val="{00000001-8E2A-418C-9136-509ACF0972BA}"/>
            </c:ext>
          </c:extLst>
        </c:ser>
        <c:dLbls>
          <c:showLegendKey val="0"/>
          <c:showVal val="0"/>
          <c:showCatName val="0"/>
          <c:showSerName val="0"/>
          <c:showPercent val="0"/>
          <c:showBubbleSize val="0"/>
        </c:dLbls>
        <c:marker val="1"/>
        <c:smooth val="0"/>
        <c:axId val="1192658767"/>
        <c:axId val="1192659599"/>
      </c:lineChart>
      <c:dateAx>
        <c:axId val="1192658767"/>
        <c:scaling>
          <c:orientation val="minMax"/>
        </c:scaling>
        <c:delete val="0"/>
        <c:axPos val="b"/>
        <c:numFmt formatCode="[$-409]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192659599"/>
        <c:crosses val="autoZero"/>
        <c:auto val="1"/>
        <c:lblOffset val="100"/>
        <c:baseTimeUnit val="months"/>
      </c:dateAx>
      <c:valAx>
        <c:axId val="1192659599"/>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Number</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192658767"/>
        <c:crosses val="autoZero"/>
        <c:crossBetween val="between"/>
        <c:majorUnit val="2"/>
      </c:valAx>
      <c:valAx>
        <c:axId val="1342813567"/>
        <c:scaling>
          <c:orientation val="minMax"/>
          <c:max val="4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IN">
                    <a:latin typeface="Rupee Foradian" panose="020B0603030804020204" pitchFamily="34" charset="0"/>
                  </a:rPr>
                  <a:t>`</a:t>
                </a:r>
                <a:r>
                  <a:rPr lang="en-IN"/>
                  <a:t> Crore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342813983"/>
        <c:crosses val="max"/>
        <c:crossBetween val="between"/>
      </c:valAx>
      <c:dateAx>
        <c:axId val="1342813983"/>
        <c:scaling>
          <c:orientation val="minMax"/>
        </c:scaling>
        <c:delete val="1"/>
        <c:axPos val="b"/>
        <c:numFmt formatCode="[$-409]mmm\-yy" sourceLinked="1"/>
        <c:majorTickMark val="out"/>
        <c:minorTickMark val="none"/>
        <c:tickLblPos val="nextTo"/>
        <c:crossAx val="1342813567"/>
        <c:crosses val="autoZero"/>
        <c:auto val="1"/>
        <c:lblOffset val="100"/>
        <c:baseTimeUnit val="months"/>
        <c:majorUnit val="1"/>
        <c:minorUnit val="1"/>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r>
              <a:rPr lang="en-IN" sz="1000" b="1">
                <a:solidFill>
                  <a:schemeClr val="accent1"/>
                </a:solidFill>
              </a:rPr>
              <a:t>Movement of Domestic Indices</a:t>
            </a:r>
          </a:p>
        </c:rich>
      </c:tx>
      <c:layout>
        <c:manualLayout>
          <c:xMode val="edge"/>
          <c:yMode val="edge"/>
          <c:x val="0.31095560376719084"/>
          <c:y val="2.8993334468280511E-2"/>
        </c:manualLayout>
      </c:layout>
      <c:overlay val="0"/>
      <c:spPr>
        <a:noFill/>
        <a:ln>
          <a:noFill/>
        </a:ln>
        <a:effectLst/>
      </c:spPr>
      <c:txPr>
        <a:bodyPr rot="0" spcFirstLastPara="1" vertOverflow="ellipsis" vert="horz" wrap="square" anchor="ctr" anchorCtr="1"/>
        <a:lstStyle/>
        <a:p>
          <a:pPr>
            <a:defRPr sz="1000" b="1" i="0" u="none" strike="noStrike" kern="1200" spc="0" baseline="0">
              <a:solidFill>
                <a:schemeClr val="accent1"/>
              </a:solidFill>
              <a:latin typeface="+mn-lt"/>
              <a:ea typeface="+mn-ea"/>
              <a:cs typeface="+mn-cs"/>
            </a:defRPr>
          </a:pPr>
          <a:endParaRPr lang="en-US"/>
        </a:p>
      </c:txPr>
    </c:title>
    <c:autoTitleDeleted val="0"/>
    <c:plotArea>
      <c:layout>
        <c:manualLayout>
          <c:layoutTarget val="inner"/>
          <c:xMode val="edge"/>
          <c:yMode val="edge"/>
          <c:x val="3.0445248133130945E-2"/>
          <c:y val="9.5263813252921672E-2"/>
          <c:w val="0.93910950373373814"/>
          <c:h val="0.61406543896862764"/>
        </c:manualLayout>
      </c:layout>
      <c:lineChart>
        <c:grouping val="standard"/>
        <c:varyColors val="0"/>
        <c:ser>
          <c:idx val="0"/>
          <c:order val="0"/>
          <c:tx>
            <c:v>MCX iCOMDEX Composite Index</c:v>
          </c:tx>
          <c:spPr>
            <a:ln w="28575" cap="rnd">
              <a:solidFill>
                <a:schemeClr val="accent1"/>
              </a:solidFill>
              <a:round/>
            </a:ln>
            <a:effectLst/>
          </c:spPr>
          <c:marker>
            <c:symbol val="none"/>
          </c:marker>
          <c:cat>
            <c:numRef>
              <c:f>Graph!$D$235:$D$258</c:f>
              <c:numCache>
                <c:formatCode>d\-mmm\-yy</c:formatCode>
                <c:ptCount val="24"/>
                <c:pt idx="0">
                  <c:v>44253</c:v>
                </c:pt>
                <c:pt idx="1">
                  <c:v>44256</c:v>
                </c:pt>
                <c:pt idx="2">
                  <c:v>44257</c:v>
                </c:pt>
                <c:pt idx="3">
                  <c:v>44258</c:v>
                </c:pt>
                <c:pt idx="4">
                  <c:v>44259</c:v>
                </c:pt>
                <c:pt idx="5">
                  <c:v>44260</c:v>
                </c:pt>
                <c:pt idx="6">
                  <c:v>44263</c:v>
                </c:pt>
                <c:pt idx="7">
                  <c:v>44264</c:v>
                </c:pt>
                <c:pt idx="8">
                  <c:v>44265</c:v>
                </c:pt>
                <c:pt idx="9">
                  <c:v>44266</c:v>
                </c:pt>
                <c:pt idx="10">
                  <c:v>44267</c:v>
                </c:pt>
                <c:pt idx="11">
                  <c:v>44270</c:v>
                </c:pt>
                <c:pt idx="12">
                  <c:v>44271</c:v>
                </c:pt>
                <c:pt idx="13">
                  <c:v>44272</c:v>
                </c:pt>
                <c:pt idx="14">
                  <c:v>44273</c:v>
                </c:pt>
                <c:pt idx="15">
                  <c:v>44274</c:v>
                </c:pt>
                <c:pt idx="16">
                  <c:v>44277</c:v>
                </c:pt>
                <c:pt idx="17">
                  <c:v>44278</c:v>
                </c:pt>
                <c:pt idx="18">
                  <c:v>44279</c:v>
                </c:pt>
                <c:pt idx="19">
                  <c:v>44280</c:v>
                </c:pt>
                <c:pt idx="20">
                  <c:v>44281</c:v>
                </c:pt>
                <c:pt idx="21">
                  <c:v>44284</c:v>
                </c:pt>
                <c:pt idx="22">
                  <c:v>44285</c:v>
                </c:pt>
                <c:pt idx="23">
                  <c:v>44286</c:v>
                </c:pt>
              </c:numCache>
            </c:numRef>
          </c:cat>
          <c:val>
            <c:numRef>
              <c:f>Graph!$E$235:$E$257</c:f>
              <c:numCache>
                <c:formatCode>_(* #,##0.00_);_(* \(#,##0.00\);_(* "-"??_);_(@_)</c:formatCode>
                <c:ptCount val="23"/>
                <c:pt idx="0">
                  <c:v>100</c:v>
                </c:pt>
                <c:pt idx="1">
                  <c:v>99.007506430878479</c:v>
                </c:pt>
                <c:pt idx="2">
                  <c:v>99.818680820551705</c:v>
                </c:pt>
                <c:pt idx="3">
                  <c:v>98.1275589584953</c:v>
                </c:pt>
                <c:pt idx="4">
                  <c:v>96.775265866115021</c:v>
                </c:pt>
                <c:pt idx="5">
                  <c:v>97.882686490896972</c:v>
                </c:pt>
                <c:pt idx="6">
                  <c:v>97.576092242011669</c:v>
                </c:pt>
                <c:pt idx="7">
                  <c:v>97.690286694926826</c:v>
                </c:pt>
                <c:pt idx="8">
                  <c:v>97.274534636999931</c:v>
                </c:pt>
                <c:pt idx="9">
                  <c:v>98.382779439870276</c:v>
                </c:pt>
                <c:pt idx="10">
                  <c:v>97.733143955523701</c:v>
                </c:pt>
                <c:pt idx="11">
                  <c:v>98.046881081175144</c:v>
                </c:pt>
                <c:pt idx="12">
                  <c:v>97.467117583656375</c:v>
                </c:pt>
                <c:pt idx="13">
                  <c:v>97.474901487824624</c:v>
                </c:pt>
                <c:pt idx="14">
                  <c:v>96.671602577662796</c:v>
                </c:pt>
                <c:pt idx="15">
                  <c:v>96.89120025055017</c:v>
                </c:pt>
                <c:pt idx="16">
                  <c:v>96.856401620151019</c:v>
                </c:pt>
                <c:pt idx="17">
                  <c:v>95.087807017784883</c:v>
                </c:pt>
                <c:pt idx="18">
                  <c:v>95.996783873948416</c:v>
                </c:pt>
                <c:pt idx="19">
                  <c:v>95.006121811689994</c:v>
                </c:pt>
                <c:pt idx="20">
                  <c:v>95.998065928752595</c:v>
                </c:pt>
                <c:pt idx="21">
                  <c:v>95.580299213276291</c:v>
                </c:pt>
                <c:pt idx="22">
                  <c:v>94.803465577286445</c:v>
                </c:pt>
              </c:numCache>
            </c:numRef>
          </c:val>
          <c:smooth val="0"/>
          <c:extLst>
            <c:ext xmlns:c16="http://schemas.microsoft.com/office/drawing/2014/chart" uri="{C3380CC4-5D6E-409C-BE32-E72D297353CC}">
              <c16:uniqueId val="{00000000-1248-438D-ADBD-EA7C9E347FAE}"/>
            </c:ext>
          </c:extLst>
        </c:ser>
        <c:ser>
          <c:idx val="1"/>
          <c:order val="1"/>
          <c:tx>
            <c:v>Nkrishi NCDEX Index</c:v>
          </c:tx>
          <c:spPr>
            <a:ln w="28575" cap="rnd">
              <a:solidFill>
                <a:schemeClr val="accent2"/>
              </a:solidFill>
              <a:round/>
            </a:ln>
            <a:effectLst/>
          </c:spPr>
          <c:marker>
            <c:symbol val="none"/>
          </c:marker>
          <c:cat>
            <c:numRef>
              <c:f>Graph!$D$235:$D$258</c:f>
              <c:numCache>
                <c:formatCode>d\-mmm\-yy</c:formatCode>
                <c:ptCount val="24"/>
                <c:pt idx="0">
                  <c:v>44253</c:v>
                </c:pt>
                <c:pt idx="1">
                  <c:v>44256</c:v>
                </c:pt>
                <c:pt idx="2">
                  <c:v>44257</c:v>
                </c:pt>
                <c:pt idx="3">
                  <c:v>44258</c:v>
                </c:pt>
                <c:pt idx="4">
                  <c:v>44259</c:v>
                </c:pt>
                <c:pt idx="5">
                  <c:v>44260</c:v>
                </c:pt>
                <c:pt idx="6">
                  <c:v>44263</c:v>
                </c:pt>
                <c:pt idx="7">
                  <c:v>44264</c:v>
                </c:pt>
                <c:pt idx="8">
                  <c:v>44265</c:v>
                </c:pt>
                <c:pt idx="9">
                  <c:v>44266</c:v>
                </c:pt>
                <c:pt idx="10">
                  <c:v>44267</c:v>
                </c:pt>
                <c:pt idx="11">
                  <c:v>44270</c:v>
                </c:pt>
                <c:pt idx="12">
                  <c:v>44271</c:v>
                </c:pt>
                <c:pt idx="13">
                  <c:v>44272</c:v>
                </c:pt>
                <c:pt idx="14">
                  <c:v>44273</c:v>
                </c:pt>
                <c:pt idx="15">
                  <c:v>44274</c:v>
                </c:pt>
                <c:pt idx="16">
                  <c:v>44277</c:v>
                </c:pt>
                <c:pt idx="17">
                  <c:v>44278</c:v>
                </c:pt>
                <c:pt idx="18">
                  <c:v>44279</c:v>
                </c:pt>
                <c:pt idx="19">
                  <c:v>44280</c:v>
                </c:pt>
                <c:pt idx="20">
                  <c:v>44281</c:v>
                </c:pt>
                <c:pt idx="21">
                  <c:v>44284</c:v>
                </c:pt>
                <c:pt idx="22">
                  <c:v>44285</c:v>
                </c:pt>
                <c:pt idx="23">
                  <c:v>44286</c:v>
                </c:pt>
              </c:numCache>
            </c:numRef>
          </c:cat>
          <c:val>
            <c:numRef>
              <c:f>Graph!$F$235:$F$258</c:f>
              <c:numCache>
                <c:formatCode>_(* #,##0.00_);_(* \(#,##0.00\);_(* "-"??_);_(@_)</c:formatCode>
                <c:ptCount val="24"/>
                <c:pt idx="0">
                  <c:v>100</c:v>
                </c:pt>
                <c:pt idx="1">
                  <c:v>101.6640901597947</c:v>
                </c:pt>
                <c:pt idx="2">
                  <c:v>101.63255679210793</c:v>
                </c:pt>
                <c:pt idx="3">
                  <c:v>102.24681653989227</c:v>
                </c:pt>
                <c:pt idx="4">
                  <c:v>100.81063828150836</c:v>
                </c:pt>
                <c:pt idx="5">
                  <c:v>101.87251802913887</c:v>
                </c:pt>
                <c:pt idx="6">
                  <c:v>102.46293547452589</c:v>
                </c:pt>
                <c:pt idx="7">
                  <c:v>103.41714030810407</c:v>
                </c:pt>
                <c:pt idx="8">
                  <c:v>104.08600661944351</c:v>
                </c:pt>
                <c:pt idx="9">
                  <c:v>104.08600661944351</c:v>
                </c:pt>
                <c:pt idx="10">
                  <c:v>104.94535498111841</c:v>
                </c:pt>
                <c:pt idx="11">
                  <c:v>106.75454990604081</c:v>
                </c:pt>
                <c:pt idx="12">
                  <c:v>106.48818267818274</c:v>
                </c:pt>
                <c:pt idx="13">
                  <c:v>106.48818267818274</c:v>
                </c:pt>
                <c:pt idx="14">
                  <c:v>104.26674665374566</c:v>
                </c:pt>
                <c:pt idx="15">
                  <c:v>103.78426049125395</c:v>
                </c:pt>
                <c:pt idx="16">
                  <c:v>106.25257971148248</c:v>
                </c:pt>
                <c:pt idx="17">
                  <c:v>106.04415184213831</c:v>
                </c:pt>
                <c:pt idx="18">
                  <c:v>105.81572720304153</c:v>
                </c:pt>
                <c:pt idx="19">
                  <c:v>106.65712974570773</c:v>
                </c:pt>
                <c:pt idx="20">
                  <c:v>107.15653625183623</c:v>
                </c:pt>
                <c:pt idx="21">
                  <c:v>107.15653625183623</c:v>
                </c:pt>
                <c:pt idx="22">
                  <c:v>108.21251951607816</c:v>
                </c:pt>
                <c:pt idx="23">
                  <c:v>108.01921740846991</c:v>
                </c:pt>
              </c:numCache>
            </c:numRef>
          </c:val>
          <c:smooth val="0"/>
          <c:extLst>
            <c:ext xmlns:c16="http://schemas.microsoft.com/office/drawing/2014/chart" uri="{C3380CC4-5D6E-409C-BE32-E72D297353CC}">
              <c16:uniqueId val="{00000001-1248-438D-ADBD-EA7C9E347FAE}"/>
            </c:ext>
          </c:extLst>
        </c:ser>
        <c:dLbls>
          <c:showLegendKey val="0"/>
          <c:showVal val="0"/>
          <c:showCatName val="0"/>
          <c:showSerName val="0"/>
          <c:showPercent val="0"/>
          <c:showBubbleSize val="0"/>
        </c:dLbls>
        <c:smooth val="0"/>
        <c:axId val="841313608"/>
        <c:axId val="841310080"/>
      </c:lineChart>
      <c:dateAx>
        <c:axId val="841313608"/>
        <c:scaling>
          <c:orientation val="minMax"/>
        </c:scaling>
        <c:delete val="0"/>
        <c:axPos val="b"/>
        <c:numFmt formatCode="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841310080"/>
        <c:crosses val="autoZero"/>
        <c:auto val="1"/>
        <c:lblOffset val="100"/>
        <c:baseTimeUnit val="days"/>
        <c:majorUnit val="2"/>
        <c:majorTimeUnit val="days"/>
      </c:dateAx>
      <c:valAx>
        <c:axId val="841310080"/>
        <c:scaling>
          <c:orientation val="minMax"/>
          <c:max val="110"/>
          <c:min val="90"/>
        </c:scaling>
        <c:delete val="0"/>
        <c:axPos val="l"/>
        <c:majorGridlines>
          <c:spPr>
            <a:ln w="9525" cap="flat" cmpd="sng" algn="ctr">
              <a:solidFill>
                <a:srgbClr val="0070C0"/>
              </a:solidFill>
              <a:round/>
            </a:ln>
            <a:effectLst/>
          </c:spPr>
        </c:majorGridlines>
        <c:numFmt formatCode="_(* #,##0.00_);_(* \(#,##0.00\);_(* &quot;-&quot;??_);_(@_)"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Garamond" panose="02020404030301010803" pitchFamily="18" charset="0"/>
                <a:ea typeface="+mn-ea"/>
                <a:cs typeface="+mn-cs"/>
              </a:defRPr>
            </a:pPr>
            <a:endParaRPr lang="en-US"/>
          </a:p>
        </c:txPr>
        <c:crossAx val="841313608"/>
        <c:crosses val="autoZero"/>
        <c:crossBetween val="between"/>
        <c:majorUnit val="2"/>
      </c:valAx>
      <c:spPr>
        <a:noFill/>
        <a:ln>
          <a:noFill/>
        </a:ln>
        <a:effectLst/>
      </c:spPr>
    </c:plotArea>
    <c:legend>
      <c:legendPos val="b"/>
      <c:layout>
        <c:manualLayout>
          <c:xMode val="edge"/>
          <c:yMode val="edge"/>
          <c:x val="4.9999945516735624E-2"/>
          <c:y val="0.91340808018773056"/>
          <c:w val="0.89999989103347122"/>
          <c:h val="6.3122520428695372E-2"/>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accent1"/>
              </a:solidFill>
              <a:latin typeface="Garamond" panose="02020404030301010803" pitchFamily="18" charset="0"/>
              <a:ea typeface="+mn-ea"/>
              <a:cs typeface="+mn-cs"/>
            </a:defRPr>
          </a:pPr>
          <a:endParaRPr lang="en-US"/>
        </a:p>
      </c:txPr>
    </c:legend>
    <c:plotVisOnly val="1"/>
    <c:dispBlanksAs val="gap"/>
    <c:showDLblsOverMax val="0"/>
  </c:chart>
  <c:spPr>
    <a:solidFill>
      <a:schemeClr val="bg1"/>
    </a:solidFill>
    <a:ln w="9525" cap="flat" cmpd="sng" algn="ctr">
      <a:solidFill>
        <a:srgbClr val="0070C0"/>
      </a:solidFill>
      <a:round/>
    </a:ln>
    <a:effectLst/>
  </c:spPr>
  <c:txPr>
    <a:bodyPr/>
    <a:lstStyle/>
    <a:p>
      <a:pPr>
        <a:defRPr/>
      </a:pPr>
      <a:endParaRPr lang="en-US"/>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1027752615371433"/>
          <c:y val="2.3414388003439247E-2"/>
          <c:w val="0.78749864010268145"/>
          <c:h val="0.64042712487673603"/>
        </c:manualLayout>
      </c:layout>
      <c:barChart>
        <c:barDir val="col"/>
        <c:grouping val="clustered"/>
        <c:varyColors val="0"/>
        <c:ser>
          <c:idx val="0"/>
          <c:order val="0"/>
          <c:tx>
            <c:strRef>
              <c:f>'Turnover charts'!$B$3</c:f>
              <c:strCache>
                <c:ptCount val="1"/>
                <c:pt idx="0">
                  <c:v>MCX Agri Futures (LHS)</c:v>
                </c:pt>
              </c:strCache>
            </c:strRef>
          </c:tx>
          <c:spPr>
            <a:solidFill>
              <a:srgbClr val="0070C0"/>
            </a:solidFill>
            <a:ln>
              <a:solidFill>
                <a:sysClr val="windowText" lastClr="000000"/>
              </a:solidFill>
            </a:ln>
            <a:effectLst/>
          </c:spPr>
          <c:invertIfNegative val="0"/>
          <c:cat>
            <c:numRef>
              <c:f>'Turnover charts'!$A$44:$A$55</c:f>
              <c:numCache>
                <c:formatCode>mmm\-yy</c:formatCode>
                <c:ptCount val="12"/>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numCache>
              <c:extLst/>
            </c:numRef>
          </c:cat>
          <c:val>
            <c:numRef>
              <c:f>'Turnover charts'!$B$44:$B$55</c:f>
              <c:numCache>
                <c:formatCode>#,##0</c:formatCode>
                <c:ptCount val="12"/>
                <c:pt idx="0">
                  <c:v>3671.8557304000001</c:v>
                </c:pt>
                <c:pt idx="1">
                  <c:v>4106.3184176000004</c:v>
                </c:pt>
                <c:pt idx="2">
                  <c:v>6367.6581902000007</c:v>
                </c:pt>
                <c:pt idx="3">
                  <c:v>7277.3962512000026</c:v>
                </c:pt>
                <c:pt idx="4">
                  <c:v>5824.4504842000024</c:v>
                </c:pt>
                <c:pt idx="5">
                  <c:v>6838.5318600000001</c:v>
                </c:pt>
                <c:pt idx="6">
                  <c:v>7096.0901250000006</c:v>
                </c:pt>
                <c:pt idx="7">
                  <c:v>10138.218927400003</c:v>
                </c:pt>
                <c:pt idx="8">
                  <c:v>10747.937155000003</c:v>
                </c:pt>
                <c:pt idx="9">
                  <c:v>12653.105590599998</c:v>
                </c:pt>
                <c:pt idx="10">
                  <c:v>12289.256776399998</c:v>
                </c:pt>
                <c:pt idx="11">
                  <c:v>13909.001715000002</c:v>
                </c:pt>
              </c:numCache>
              <c:extLst/>
            </c:numRef>
          </c:val>
          <c:extLst>
            <c:ext xmlns:c16="http://schemas.microsoft.com/office/drawing/2014/chart" uri="{C3380CC4-5D6E-409C-BE32-E72D297353CC}">
              <c16:uniqueId val="{00000000-1317-4767-8341-C2BE5BC9A3A7}"/>
            </c:ext>
          </c:extLst>
        </c:ser>
        <c:ser>
          <c:idx val="1"/>
          <c:order val="1"/>
          <c:tx>
            <c:strRef>
              <c:f>'Turnover charts'!$C$3</c:f>
              <c:strCache>
                <c:ptCount val="1"/>
                <c:pt idx="0">
                  <c:v>NCDEX Agri Futures &amp; Options (LHS)</c:v>
                </c:pt>
              </c:strCache>
            </c:strRef>
          </c:tx>
          <c:spPr>
            <a:solidFill>
              <a:srgbClr val="00B050"/>
            </a:solidFill>
            <a:ln>
              <a:solidFill>
                <a:schemeClr val="accent3">
                  <a:lumMod val="75000"/>
                </a:schemeClr>
              </a:solidFill>
            </a:ln>
            <a:effectLst/>
          </c:spPr>
          <c:invertIfNegative val="0"/>
          <c:cat>
            <c:numRef>
              <c:f>'Turnover charts'!$A$44:$A$55</c:f>
              <c:numCache>
                <c:formatCode>mmm\-yy</c:formatCode>
                <c:ptCount val="12"/>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numCache>
              <c:extLst/>
            </c:numRef>
          </c:cat>
          <c:val>
            <c:numRef>
              <c:f>'Turnover charts'!$C$44:$C$55</c:f>
              <c:numCache>
                <c:formatCode>#,##0</c:formatCode>
                <c:ptCount val="12"/>
                <c:pt idx="0">
                  <c:v>12561.501194999999</c:v>
                </c:pt>
                <c:pt idx="1">
                  <c:v>11168.988342500001</c:v>
                </c:pt>
                <c:pt idx="2">
                  <c:v>18922.815102500001</c:v>
                </c:pt>
                <c:pt idx="3">
                  <c:v>18054.253055000005</c:v>
                </c:pt>
                <c:pt idx="4">
                  <c:v>23929.732684999995</c:v>
                </c:pt>
                <c:pt idx="5">
                  <c:v>28599.374342499999</c:v>
                </c:pt>
                <c:pt idx="6">
                  <c:v>32560.999704999991</c:v>
                </c:pt>
                <c:pt idx="7">
                  <c:v>31297.897227500001</c:v>
                </c:pt>
                <c:pt idx="8">
                  <c:v>34267.000512499995</c:v>
                </c:pt>
                <c:pt idx="9">
                  <c:v>32707.133774999988</c:v>
                </c:pt>
                <c:pt idx="10">
                  <c:v>30761.034117499996</c:v>
                </c:pt>
                <c:pt idx="11">
                  <c:v>43894.883412500007</c:v>
                </c:pt>
              </c:numCache>
              <c:extLst/>
            </c:numRef>
          </c:val>
          <c:extLst>
            <c:ext xmlns:c16="http://schemas.microsoft.com/office/drawing/2014/chart" uri="{C3380CC4-5D6E-409C-BE32-E72D297353CC}">
              <c16:uniqueId val="{00000001-1317-4767-8341-C2BE5BC9A3A7}"/>
            </c:ext>
          </c:extLst>
        </c:ser>
        <c:dLbls>
          <c:showLegendKey val="0"/>
          <c:showVal val="0"/>
          <c:showCatName val="0"/>
          <c:showSerName val="0"/>
          <c:showPercent val="0"/>
          <c:showBubbleSize val="0"/>
        </c:dLbls>
        <c:gapWidth val="219"/>
        <c:axId val="841312040"/>
        <c:axId val="841311256"/>
      </c:barChart>
      <c:lineChart>
        <c:grouping val="standard"/>
        <c:varyColors val="0"/>
        <c:ser>
          <c:idx val="2"/>
          <c:order val="2"/>
          <c:tx>
            <c:strRef>
              <c:f>'Turnover charts'!$D$3</c:f>
              <c:strCache>
                <c:ptCount val="1"/>
                <c:pt idx="0">
                  <c:v>ICEX Agri Futures (RHS)</c:v>
                </c:pt>
              </c:strCache>
            </c:strRef>
          </c:tx>
          <c:spPr>
            <a:ln w="28575" cap="rnd">
              <a:solidFill>
                <a:schemeClr val="accent6"/>
              </a:solidFill>
              <a:round/>
            </a:ln>
            <a:effectLst/>
          </c:spPr>
          <c:marker>
            <c:symbol val="none"/>
          </c:marker>
          <c:cat>
            <c:numRef>
              <c:f>'Turnover charts'!$A$44:$A$55</c:f>
              <c:numCache>
                <c:formatCode>mmm\-yy</c:formatCode>
                <c:ptCount val="12"/>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numCache>
              <c:extLst/>
            </c:numRef>
          </c:cat>
          <c:val>
            <c:numRef>
              <c:f>'Turnover charts'!$D$44:$D$55</c:f>
              <c:numCache>
                <c:formatCode>#,##0</c:formatCode>
                <c:ptCount val="12"/>
                <c:pt idx="0">
                  <c:v>213.02189999999999</c:v>
                </c:pt>
                <c:pt idx="1">
                  <c:v>53.65</c:v>
                </c:pt>
                <c:pt idx="2">
                  <c:v>16.16</c:v>
                </c:pt>
                <c:pt idx="3">
                  <c:v>22.481598000000002</c:v>
                </c:pt>
                <c:pt idx="4">
                  <c:v>2.2767149999999998</c:v>
                </c:pt>
                <c:pt idx="5" formatCode="#,##0.0">
                  <c:v>4.0599999999999997E-2</c:v>
                </c:pt>
                <c:pt idx="6" formatCode="#,##0.0">
                  <c:v>0</c:v>
                </c:pt>
                <c:pt idx="7" formatCode="#,##0.0">
                  <c:v>0</c:v>
                </c:pt>
                <c:pt idx="8" formatCode="#,##0.0">
                  <c:v>0.89</c:v>
                </c:pt>
                <c:pt idx="9" formatCode="#,##0.0">
                  <c:v>2.819</c:v>
                </c:pt>
                <c:pt idx="10" formatCode="#,##0.0">
                  <c:v>2.5779999999999998</c:v>
                </c:pt>
                <c:pt idx="11" formatCode="#,##0.0">
                  <c:v>3.4738000000000002</c:v>
                </c:pt>
              </c:numCache>
              <c:extLst/>
            </c:numRef>
          </c:val>
          <c:smooth val="0"/>
          <c:extLst>
            <c:ext xmlns:c16="http://schemas.microsoft.com/office/drawing/2014/chart" uri="{C3380CC4-5D6E-409C-BE32-E72D297353CC}">
              <c16:uniqueId val="{00000002-1317-4767-8341-C2BE5BC9A3A7}"/>
            </c:ext>
          </c:extLst>
        </c:ser>
        <c:ser>
          <c:idx val="3"/>
          <c:order val="3"/>
          <c:tx>
            <c:strRef>
              <c:f>'Turnover charts'!$E$3</c:f>
              <c:strCache>
                <c:ptCount val="1"/>
                <c:pt idx="0">
                  <c:v>BSE Agri Futures (RHS)</c:v>
                </c:pt>
              </c:strCache>
            </c:strRef>
          </c:tx>
          <c:spPr>
            <a:ln w="28575" cap="rnd">
              <a:solidFill>
                <a:schemeClr val="tx1"/>
              </a:solidFill>
              <a:round/>
            </a:ln>
            <a:effectLst/>
          </c:spPr>
          <c:marker>
            <c:symbol val="none"/>
          </c:marker>
          <c:cat>
            <c:numRef>
              <c:f>'Turnover charts'!$A$44:$A$55</c:f>
              <c:numCache>
                <c:formatCode>mmm\-yy</c:formatCode>
                <c:ptCount val="12"/>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numCache>
              <c:extLst/>
            </c:numRef>
          </c:cat>
          <c:val>
            <c:numRef>
              <c:f>'Turnover charts'!$E$44:$E$55</c:f>
              <c:numCache>
                <c:formatCode>#,##0</c:formatCode>
                <c:ptCount val="12"/>
                <c:pt idx="0">
                  <c:v>1001.73313</c:v>
                </c:pt>
                <c:pt idx="1">
                  <c:v>847.49</c:v>
                </c:pt>
                <c:pt idx="2">
                  <c:v>1565.29</c:v>
                </c:pt>
                <c:pt idx="3">
                  <c:v>323.74</c:v>
                </c:pt>
                <c:pt idx="4">
                  <c:v>153.78</c:v>
                </c:pt>
                <c:pt idx="5">
                  <c:v>181.2</c:v>
                </c:pt>
                <c:pt idx="6">
                  <c:v>236.58</c:v>
                </c:pt>
                <c:pt idx="7">
                  <c:v>165.86</c:v>
                </c:pt>
                <c:pt idx="8">
                  <c:v>110.01</c:v>
                </c:pt>
                <c:pt idx="9">
                  <c:v>86.66</c:v>
                </c:pt>
                <c:pt idx="10">
                  <c:v>83.13</c:v>
                </c:pt>
                <c:pt idx="11">
                  <c:v>115.46</c:v>
                </c:pt>
              </c:numCache>
              <c:extLst/>
            </c:numRef>
          </c:val>
          <c:smooth val="0"/>
          <c:extLst>
            <c:ext xmlns:c16="http://schemas.microsoft.com/office/drawing/2014/chart" uri="{C3380CC4-5D6E-409C-BE32-E72D297353CC}">
              <c16:uniqueId val="{00000003-1317-4767-8341-C2BE5BC9A3A7}"/>
            </c:ext>
          </c:extLst>
        </c:ser>
        <c:ser>
          <c:idx val="4"/>
          <c:order val="4"/>
          <c:tx>
            <c:strRef>
              <c:f>'Turnover charts'!$F$3</c:f>
              <c:strCache>
                <c:ptCount val="1"/>
                <c:pt idx="0">
                  <c:v>NSE Agri. Futures(RHS)</c:v>
                </c:pt>
              </c:strCache>
            </c:strRef>
          </c:tx>
          <c:spPr>
            <a:ln w="28575" cap="rnd">
              <a:solidFill>
                <a:srgbClr val="C00000"/>
              </a:solidFill>
              <a:round/>
            </a:ln>
            <a:effectLst/>
          </c:spPr>
          <c:marker>
            <c:symbol val="diamond"/>
            <c:size val="9"/>
            <c:spPr>
              <a:solidFill>
                <a:srgbClr val="C00000"/>
              </a:solidFill>
              <a:ln w="9525">
                <a:solidFill>
                  <a:srgbClr val="C00000"/>
                </a:solidFill>
              </a:ln>
              <a:effectLst/>
            </c:spPr>
          </c:marker>
          <c:cat>
            <c:numRef>
              <c:f>'Turnover charts'!$A$44:$A$55</c:f>
              <c:numCache>
                <c:formatCode>mmm\-yy</c:formatCode>
                <c:ptCount val="12"/>
                <c:pt idx="0">
                  <c:v>43922</c:v>
                </c:pt>
                <c:pt idx="1">
                  <c:v>43952</c:v>
                </c:pt>
                <c:pt idx="2">
                  <c:v>43983</c:v>
                </c:pt>
                <c:pt idx="3">
                  <c:v>44013</c:v>
                </c:pt>
                <c:pt idx="4">
                  <c:v>44044</c:v>
                </c:pt>
                <c:pt idx="5">
                  <c:v>44075</c:v>
                </c:pt>
                <c:pt idx="6">
                  <c:v>44105</c:v>
                </c:pt>
                <c:pt idx="7">
                  <c:v>44136</c:v>
                </c:pt>
                <c:pt idx="8">
                  <c:v>44166</c:v>
                </c:pt>
                <c:pt idx="9">
                  <c:v>44197</c:v>
                </c:pt>
                <c:pt idx="10">
                  <c:v>44228</c:v>
                </c:pt>
                <c:pt idx="11">
                  <c:v>44256</c:v>
                </c:pt>
              </c:numCache>
              <c:extLst/>
            </c:numRef>
          </c:cat>
          <c:val>
            <c:numRef>
              <c:f>'Turnover charts'!$F$44:$F$55</c:f>
              <c:numCache>
                <c:formatCode>#,##0</c:formatCode>
                <c:ptCount val="12"/>
                <c:pt idx="0">
                  <c:v>0</c:v>
                </c:pt>
                <c:pt idx="1">
                  <c:v>0</c:v>
                </c:pt>
                <c:pt idx="2">
                  <c:v>0</c:v>
                </c:pt>
                <c:pt idx="3">
                  <c:v>0</c:v>
                </c:pt>
                <c:pt idx="4">
                  <c:v>0</c:v>
                </c:pt>
                <c:pt idx="5">
                  <c:v>0</c:v>
                </c:pt>
                <c:pt idx="6">
                  <c:v>0</c:v>
                </c:pt>
                <c:pt idx="7">
                  <c:v>0</c:v>
                </c:pt>
                <c:pt idx="8">
                  <c:v>1433.9238400000006</c:v>
                </c:pt>
                <c:pt idx="9">
                  <c:v>826.19159999999999</c:v>
                </c:pt>
                <c:pt idx="10">
                  <c:v>920.27394000000004</c:v>
                </c:pt>
                <c:pt idx="11">
                  <c:v>1672.8383199999998</c:v>
                </c:pt>
              </c:numCache>
              <c:extLst/>
            </c:numRef>
          </c:val>
          <c:smooth val="0"/>
          <c:extLst>
            <c:ext xmlns:c16="http://schemas.microsoft.com/office/drawing/2014/chart" uri="{C3380CC4-5D6E-409C-BE32-E72D297353CC}">
              <c16:uniqueId val="{00000004-1317-4767-8341-C2BE5BC9A3A7}"/>
            </c:ext>
          </c:extLst>
        </c:ser>
        <c:dLbls>
          <c:showLegendKey val="0"/>
          <c:showVal val="0"/>
          <c:showCatName val="0"/>
          <c:showSerName val="0"/>
          <c:showPercent val="0"/>
          <c:showBubbleSize val="0"/>
        </c:dLbls>
        <c:marker val="1"/>
        <c:smooth val="0"/>
        <c:axId val="841312432"/>
        <c:axId val="841310472"/>
      </c:lineChart>
      <c:dateAx>
        <c:axId val="841312040"/>
        <c:scaling>
          <c:orientation val="minMax"/>
          <c:max val="44256"/>
          <c:min val="43922"/>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168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41311256"/>
        <c:crosses val="autoZero"/>
        <c:auto val="0"/>
        <c:lblOffset val="100"/>
        <c:baseTimeUnit val="months"/>
        <c:majorUnit val="1"/>
        <c:majorTimeUnit val="months"/>
      </c:dateAx>
      <c:valAx>
        <c:axId val="841311256"/>
        <c:scaling>
          <c:orientation val="minMax"/>
          <c:max val="45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41312040"/>
        <c:crosses val="autoZero"/>
        <c:crossBetween val="between"/>
      </c:valAx>
      <c:valAx>
        <c:axId val="841310472"/>
        <c:scaling>
          <c:orientation val="minMax"/>
          <c:max val="3000"/>
          <c:min val="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41312432"/>
        <c:crosses val="max"/>
        <c:crossBetween val="between"/>
        <c:majorUnit val="1000"/>
      </c:valAx>
      <c:dateAx>
        <c:axId val="841312432"/>
        <c:scaling>
          <c:orientation val="minMax"/>
        </c:scaling>
        <c:delete val="1"/>
        <c:axPos val="b"/>
        <c:numFmt formatCode="mmm\-yy" sourceLinked="1"/>
        <c:majorTickMark val="out"/>
        <c:minorTickMark val="none"/>
        <c:tickLblPos val="nextTo"/>
        <c:crossAx val="841310472"/>
        <c:crosses val="autoZero"/>
        <c:auto val="0"/>
        <c:lblOffset val="100"/>
        <c:baseTimeUnit val="months"/>
      </c:dateAx>
      <c:spPr>
        <a:noFill/>
        <a:ln>
          <a:noFill/>
        </a:ln>
        <a:effectLst/>
      </c:spPr>
    </c:plotArea>
    <c:legend>
      <c:legendPos val="b"/>
      <c:layout>
        <c:manualLayout>
          <c:xMode val="edge"/>
          <c:yMode val="edge"/>
          <c:x val="0.10164675814571447"/>
          <c:y val="0.81955235752576772"/>
          <c:w val="0.82665128174197633"/>
          <c:h val="0.18044764247423237"/>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bg1">
          <a:lumMod val="65000"/>
        </a:scheme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3940947124360035"/>
          <c:h val="0.72457814568050793"/>
        </c:manualLayout>
      </c:layout>
      <c:barChart>
        <c:barDir val="col"/>
        <c:grouping val="stacked"/>
        <c:varyColors val="0"/>
        <c:ser>
          <c:idx val="0"/>
          <c:order val="0"/>
          <c:tx>
            <c:strRef>
              <c:f>'Turnover charts'!$K$3</c:f>
              <c:strCache>
                <c:ptCount val="1"/>
                <c:pt idx="0">
                  <c:v>MCX Futures (RHS)</c:v>
                </c:pt>
              </c:strCache>
            </c:strRef>
          </c:tx>
          <c:spPr>
            <a:solidFill>
              <a:srgbClr val="92D050"/>
            </a:solidFill>
            <a:ln>
              <a:solidFill>
                <a:sysClr val="windowText" lastClr="000000"/>
              </a:solidFill>
            </a:ln>
            <a:effectLst/>
          </c:spPr>
          <c:invertIfNegative val="0"/>
          <c:cat>
            <c:numRef>
              <c:f>'Turnover charts'!$J$4:$J$55</c:f>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f>'Turnover charts'!$K$4:$K$55</c:f>
              <c:numCache>
                <c:formatCode>_(* #,##0_);_(* \(#,##0\);_(* "-"??_);_(@_)</c:formatCode>
                <c:ptCount val="37"/>
                <c:pt idx="0">
                  <c:v>502333.84615715011</c:v>
                </c:pt>
                <c:pt idx="1">
                  <c:v>554481.07702095003</c:v>
                </c:pt>
                <c:pt idx="2">
                  <c:v>514263.34081070009</c:v>
                </c:pt>
                <c:pt idx="3">
                  <c:v>488935.25250099995</c:v>
                </c:pt>
                <c:pt idx="4">
                  <c:v>510099.26815124979</c:v>
                </c:pt>
                <c:pt idx="5">
                  <c:v>503460.0791320501</c:v>
                </c:pt>
                <c:pt idx="6">
                  <c:v>540136.1876240999</c:v>
                </c:pt>
                <c:pt idx="7">
                  <c:v>602393.52301564987</c:v>
                </c:pt>
                <c:pt idx="8">
                  <c:v>560373.39216535003</c:v>
                </c:pt>
                <c:pt idx="9">
                  <c:v>515431.74569595006</c:v>
                </c:pt>
                <c:pt idx="10">
                  <c:v>600469.55308069987</c:v>
                </c:pt>
                <c:pt idx="11">
                  <c:v>532389.84253700008</c:v>
                </c:pt>
                <c:pt idx="12">
                  <c:v>567761.35483295005</c:v>
                </c:pt>
                <c:pt idx="13">
                  <c:v>516307.34400520008</c:v>
                </c:pt>
                <c:pt idx="14">
                  <c:v>615537.92995134997</c:v>
                </c:pt>
                <c:pt idx="15">
                  <c:v>569240.9336420499</c:v>
                </c:pt>
                <c:pt idx="16">
                  <c:v>716525.07049199997</c:v>
                </c:pt>
                <c:pt idx="17">
                  <c:v>728211.15374000021</c:v>
                </c:pt>
                <c:pt idx="18">
                  <c:v>781695.78193319985</c:v>
                </c:pt>
                <c:pt idx="19">
                  <c:v>668208.51480580005</c:v>
                </c:pt>
                <c:pt idx="20">
                  <c:v>672255.75945409993</c:v>
                </c:pt>
                <c:pt idx="21">
                  <c:v>644422.79156839987</c:v>
                </c:pt>
                <c:pt idx="22">
                  <c:v>827755.84935100004</c:v>
                </c:pt>
                <c:pt idx="23">
                  <c:v>781969.06022450014</c:v>
                </c:pt>
                <c:pt idx="24">
                  <c:v>774725.27535569982</c:v>
                </c:pt>
                <c:pt idx="25">
                  <c:v>278174.58910059999</c:v>
                </c:pt>
                <c:pt idx="26">
                  <c:v>494950.96162219997</c:v>
                </c:pt>
                <c:pt idx="27">
                  <c:v>623568.06468549999</c:v>
                </c:pt>
                <c:pt idx="28">
                  <c:v>846844.32924410037</c:v>
                </c:pt>
                <c:pt idx="29">
                  <c:v>904796.19616849977</c:v>
                </c:pt>
                <c:pt idx="30">
                  <c:v>745965.04735440004</c:v>
                </c:pt>
                <c:pt idx="31">
                  <c:v>691669.15749930032</c:v>
                </c:pt>
                <c:pt idx="32">
                  <c:v>722827.83065649983</c:v>
                </c:pt>
                <c:pt idx="33">
                  <c:v>649285.71545270004</c:v>
                </c:pt>
                <c:pt idx="34">
                  <c:v>631081.49217339978</c:v>
                </c:pt>
                <c:pt idx="35">
                  <c:v>732338.52416479995</c:v>
                </c:pt>
                <c:pt idx="36">
                  <c:v>602584.41504829994</c:v>
                </c:pt>
              </c:numCache>
            </c:numRef>
          </c:val>
          <c:extLst xmlns:c15="http://schemas.microsoft.com/office/drawing/2012/chart">
            <c:ext xmlns:c16="http://schemas.microsoft.com/office/drawing/2014/chart" uri="{C3380CC4-5D6E-409C-BE32-E72D297353CC}">
              <c16:uniqueId val="{00000000-BEC2-46AA-B163-E6F40268D047}"/>
            </c:ext>
          </c:extLst>
        </c:ser>
        <c:dLbls>
          <c:showLegendKey val="0"/>
          <c:showVal val="0"/>
          <c:showCatName val="0"/>
          <c:showSerName val="0"/>
          <c:showPercent val="0"/>
          <c:showBubbleSize val="0"/>
        </c:dLbls>
        <c:gapWidth val="219"/>
        <c:overlap val="100"/>
        <c:axId val="726424808"/>
        <c:axId val="651463480"/>
        <c:extLst>
          <c:ext xmlns:c15="http://schemas.microsoft.com/office/drawing/2012/chart" uri="{02D57815-91ED-43cb-92C2-25804820EDAC}">
            <c15:filteredBarSeries>
              <c15:ser>
                <c:idx val="1"/>
                <c:order val="1"/>
                <c:tx>
                  <c:strRef>
                    <c:extLst>
                      <c:ext uri="{02D57815-91ED-43cb-92C2-25804820EDAC}">
                        <c15:formulaRef>
                          <c15:sqref>'Turnover charts'!$L$3</c15:sqref>
                        </c15:formulaRef>
                      </c:ext>
                    </c:extLst>
                    <c:strCache>
                      <c:ptCount val="1"/>
                      <c:pt idx="0">
                        <c:v>MCX Options (LHS)</c:v>
                      </c:pt>
                    </c:strCache>
                  </c:strRef>
                </c:tx>
                <c:spPr>
                  <a:solidFill>
                    <a:srgbClr val="92D050"/>
                  </a:solidFill>
                  <a:ln w="12700">
                    <a:solidFill>
                      <a:schemeClr val="tx1">
                        <a:lumMod val="75000"/>
                        <a:lumOff val="25000"/>
                      </a:schemeClr>
                    </a:solidFill>
                  </a:ln>
                  <a:effectLst/>
                </c:spPr>
                <c:invertIfNegative val="0"/>
                <c:cat>
                  <c:numRef>
                    <c:extLst>
                      <c:ext uri="{02D57815-91ED-43cb-92C2-25804820EDAC}">
                        <c15:formulaRef>
                          <c15:sqref>'Turnover charts'!$J$4:$J$55</c15:sqref>
                        </c15:formulaRef>
                      </c:ext>
                    </c:extLst>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extLst>
                      <c:ext uri="{02D57815-91ED-43cb-92C2-25804820EDAC}">
                        <c15:formulaRef>
                          <c15:sqref>'Turnover charts'!$L$4:$L$55</c15:sqref>
                        </c15:formulaRef>
                      </c:ext>
                    </c:extLst>
                    <c:numCache>
                      <c:formatCode>_(* #,##0_);_(* \(#,##0\);_(* "-"??_);_(@_)</c:formatCode>
                      <c:ptCount val="37"/>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pt idx="31">
                        <c:v>9915.5255409999991</c:v>
                      </c:pt>
                      <c:pt idx="32">
                        <c:v>26564.103460999999</c:v>
                      </c:pt>
                      <c:pt idx="33">
                        <c:v>15258.518517999999</c:v>
                      </c:pt>
                      <c:pt idx="34">
                        <c:v>25959.086283000004</c:v>
                      </c:pt>
                      <c:pt idx="35">
                        <c:v>17156.310860000001</c:v>
                      </c:pt>
                      <c:pt idx="36">
                        <c:v>28949.873640999998</c:v>
                      </c:pt>
                    </c:numCache>
                  </c:numRef>
                </c:val>
                <c:extLst>
                  <c:ext xmlns:c16="http://schemas.microsoft.com/office/drawing/2014/chart" uri="{C3380CC4-5D6E-409C-BE32-E72D297353CC}">
                    <c16:uniqueId val="{00000005-BEC2-46AA-B163-E6F40268D047}"/>
                  </c:ext>
                </c:extLst>
              </c15:ser>
            </c15:filteredBarSeries>
          </c:ext>
        </c:extLst>
      </c:barChart>
      <c:lineChart>
        <c:grouping val="standard"/>
        <c:varyColors val="0"/>
        <c:ser>
          <c:idx val="2"/>
          <c:order val="2"/>
          <c:tx>
            <c:strRef>
              <c:f>'Turnover charts'!$M$3</c:f>
              <c:strCache>
                <c:ptCount val="1"/>
                <c:pt idx="0">
                  <c:v>BSE Futures (LHS)</c:v>
                </c:pt>
              </c:strCache>
            </c:strRef>
          </c:tx>
          <c:spPr>
            <a:ln w="19050" cap="rnd">
              <a:solidFill>
                <a:srgbClr val="0070C0"/>
              </a:solidFill>
              <a:prstDash val="dash"/>
              <a:round/>
            </a:ln>
            <a:effectLst/>
          </c:spPr>
          <c:marker>
            <c:symbol val="diamond"/>
            <c:size val="5"/>
            <c:spPr>
              <a:solidFill>
                <a:srgbClr val="7030A0"/>
              </a:solidFill>
              <a:ln w="19050">
                <a:solidFill>
                  <a:srgbClr val="0070C0"/>
                </a:solidFill>
                <a:prstDash val="dash"/>
              </a:ln>
              <a:effectLst/>
            </c:spPr>
          </c:marker>
          <c:cat>
            <c:numRef>
              <c:f>'Turnover charts'!$J$4:$J$55</c:f>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f>'Turnover charts'!$M$4:$M$55</c:f>
              <c:numCache>
                <c:formatCode>General</c:formatCode>
                <c:ptCount val="37"/>
                <c:pt idx="7" formatCode="_(* #,##0_);_(* \(#,##0\);_(* &quot;-&quot;??_);_(@_)">
                  <c:v>7049.36</c:v>
                </c:pt>
                <c:pt idx="8" formatCode="_(* #,##0_);_(* \(#,##0\);_(* &quot;-&quot;??_);_(@_)">
                  <c:v>7228.18</c:v>
                </c:pt>
                <c:pt idx="9" formatCode="_(* #,##0_);_(* \(#,##0\);_(* &quot;-&quot;??_);_(@_)">
                  <c:v>3754.7995000000001</c:v>
                </c:pt>
                <c:pt idx="10" formatCode="_(* #,##0_);_(* \(#,##0\);_(* &quot;-&quot;??_);_(@_)">
                  <c:v>6538.5090380000001</c:v>
                </c:pt>
                <c:pt idx="11" formatCode="_(* #,##0_);_(* \(#,##0\);_(* &quot;-&quot;??_);_(@_)">
                  <c:v>1990.250556</c:v>
                </c:pt>
                <c:pt idx="12" formatCode="_(* #,##0_);_(* \(#,##0\);_(* &quot;-&quot;??_);_(@_)">
                  <c:v>1523.74</c:v>
                </c:pt>
                <c:pt idx="13" formatCode="_(* #,##0_);_(* \(#,##0\);_(* &quot;-&quot;??_);_(@_)">
                  <c:v>2218.23</c:v>
                </c:pt>
                <c:pt idx="14" formatCode="_(* #,##0_);_(* \(#,##0\);_(* &quot;-&quot;??_);_(@_)">
                  <c:v>2157.7899499999999</c:v>
                </c:pt>
                <c:pt idx="15" formatCode="_(* #,##0_);_(* \(#,##0\);_(* &quot;-&quot;??_);_(@_)">
                  <c:v>1756.83</c:v>
                </c:pt>
                <c:pt idx="16" formatCode="_(* #,##0_);_(* \(#,##0\);_(* &quot;-&quot;??_);_(@_)">
                  <c:v>713.38525000000004</c:v>
                </c:pt>
                <c:pt idx="17" formatCode="_(* #,##0_);_(* \(#,##0\);_(* &quot;-&quot;??_);_(@_)">
                  <c:v>521.28</c:v>
                </c:pt>
                <c:pt idx="18" formatCode="_(* #,##0_);_(* \(#,##0\);_(* &quot;-&quot;??_);_(@_)">
                  <c:v>523.60118499999999</c:v>
                </c:pt>
                <c:pt idx="19" formatCode="_(* #,##0_);_(* \(#,##0\);_(* &quot;-&quot;??_);_(@_)">
                  <c:v>317.45999999999998</c:v>
                </c:pt>
                <c:pt idx="20" formatCode="_(* #,##0_);_(* \(#,##0\);_(* &quot;-&quot;??_);_(@_)">
                  <c:v>102.15</c:v>
                </c:pt>
                <c:pt idx="21" formatCode="_(* #,##0_);_(* \(#,##0\);_(* &quot;-&quot;??_);_(@_)">
                  <c:v>49.92</c:v>
                </c:pt>
                <c:pt idx="22" formatCode="_(* #,##0_);_(* \(#,##0\);_(* &quot;-&quot;??_);_(@_)">
                  <c:v>506.52000000000004</c:v>
                </c:pt>
                <c:pt idx="23" formatCode="_(* #,##0_);_(* \(#,##0\);_(* &quot;-&quot;??_);_(@_)">
                  <c:v>995.73</c:v>
                </c:pt>
                <c:pt idx="24" formatCode="_(* #,##0_);_(* \(#,##0\);_(* &quot;-&quot;??_);_(@_)">
                  <c:v>259.89</c:v>
                </c:pt>
                <c:pt idx="25" formatCode="0.00">
                  <c:v>0</c:v>
                </c:pt>
                <c:pt idx="26" formatCode="_(* #,##0_);_(* \(#,##0\);_(* &quot;-&quot;??_);_(@_)">
                  <c:v>0</c:v>
                </c:pt>
                <c:pt idx="27" formatCode="_(* #,##0_);_(* \(#,##0\);_(* &quot;-&quot;??_);_(@_)">
                  <c:v>18.64</c:v>
                </c:pt>
                <c:pt idx="28" formatCode="0.00">
                  <c:v>0</c:v>
                </c:pt>
                <c:pt idx="29" formatCode="0.00">
                  <c:v>0</c:v>
                </c:pt>
                <c:pt idx="30" formatCode="_(* #,##0_);_(* \(#,##0\);_(* &quot;-&quot;??_);_(@_)">
                  <c:v>4.01</c:v>
                </c:pt>
                <c:pt idx="31" formatCode="_(* #,##0_);_(* \(#,##0\);_(* &quot;-&quot;??_);_(@_)">
                  <c:v>11.15</c:v>
                </c:pt>
                <c:pt idx="32" formatCode="_(* #,##0_);_(* \(#,##0\);_(* &quot;-&quot;??_);_(@_)">
                  <c:v>10.53</c:v>
                </c:pt>
                <c:pt idx="33" formatCode="_(* #,##0_);_(* \(#,##0\);_(* &quot;-&quot;??_);_(@_)">
                  <c:v>11.42</c:v>
                </c:pt>
                <c:pt idx="34" formatCode="_(* #,##0_);_(* \(#,##0\);_(* &quot;-&quot;??_);_(@_)">
                  <c:v>10.02</c:v>
                </c:pt>
                <c:pt idx="35" formatCode="_(* #,##0_);_(* \(#,##0\);_(* &quot;-&quot;??_);_(@_)">
                  <c:v>9.8699999999999992</c:v>
                </c:pt>
                <c:pt idx="36" formatCode="_(* #,##0_);_(* \(#,##0\);_(* &quot;-&quot;??_);_(@_)">
                  <c:v>11.647484</c:v>
                </c:pt>
              </c:numCache>
            </c:numRef>
          </c:val>
          <c:smooth val="0"/>
          <c:extLst>
            <c:ext xmlns:c16="http://schemas.microsoft.com/office/drawing/2014/chart" uri="{C3380CC4-5D6E-409C-BE32-E72D297353CC}">
              <c16:uniqueId val="{00000001-BEC2-46AA-B163-E6F40268D047}"/>
            </c:ext>
          </c:extLst>
        </c:ser>
        <c:ser>
          <c:idx val="4"/>
          <c:order val="4"/>
          <c:tx>
            <c:strRef>
              <c:f>'Turnover charts'!$O$3</c:f>
              <c:strCache>
                <c:ptCount val="1"/>
                <c:pt idx="0">
                  <c:v>NSE Futures (LHS)</c:v>
                </c:pt>
              </c:strCache>
            </c:strRef>
          </c:tx>
          <c:spPr>
            <a:ln w="19050" cap="rnd">
              <a:solidFill>
                <a:sysClr val="windowText" lastClr="000000"/>
              </a:solidFill>
              <a:prstDash val="sysDash"/>
              <a:round/>
            </a:ln>
            <a:effectLst/>
          </c:spPr>
          <c:marker>
            <c:symbol val="none"/>
          </c:marker>
          <c:cat>
            <c:numRef>
              <c:f>'Turnover charts'!$J$4:$J$55</c:f>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f>'Turnover charts'!$O$4:$O$55</c:f>
              <c:numCache>
                <c:formatCode>General</c:formatCode>
                <c:ptCount val="37"/>
                <c:pt idx="7" formatCode="_(* #,##0_);_(* \(#,##0\);_(* &quot;-&quot;??_);_(@_)">
                  <c:v>696</c:v>
                </c:pt>
                <c:pt idx="8" formatCode="_(* #,##0_);_(* \(#,##0\);_(* &quot;-&quot;??_);_(@_)">
                  <c:v>838</c:v>
                </c:pt>
                <c:pt idx="9" formatCode="_(* #,##0_);_(* \(#,##0\);_(* &quot;-&quot;??_);_(@_)">
                  <c:v>532.61176099999989</c:v>
                </c:pt>
                <c:pt idx="10" formatCode="_(* #,##0_);_(* \(#,##0\);_(* &quot;-&quot;??_);_(@_)">
                  <c:v>448.81896000000006</c:v>
                </c:pt>
                <c:pt idx="11" formatCode="_(* #,##0_);_(* \(#,##0\);_(* &quot;-&quot;??_);_(@_)">
                  <c:v>498.68747400000018</c:v>
                </c:pt>
                <c:pt idx="12" formatCode="_(* #,##0_);_(* \(#,##0\);_(* &quot;-&quot;??_);_(@_)">
                  <c:v>429.59991599999989</c:v>
                </c:pt>
                <c:pt idx="13" formatCode="_ * #,##0_ ;_ * \-#,##0_ ;_ * &quot;-&quot;??_ ;_ @_ ">
                  <c:v>489.78634199999982</c:v>
                </c:pt>
                <c:pt idx="14" formatCode="_ * #,##0_ ;_ * \-#,##0_ ;_ * &quot;-&quot;??_ ;_ @_ ">
                  <c:v>442.31177699999989</c:v>
                </c:pt>
                <c:pt idx="15" formatCode="_ * #,##0_ ;_ * \-#,##0_ ;_ * &quot;-&quot;??_ ;_ @_ ">
                  <c:v>433.71475299999997</c:v>
                </c:pt>
                <c:pt idx="16" formatCode="_ * #,##0_ ;_ * \-#,##0_ ;_ * &quot;-&quot;??_ ;_ @_ ">
                  <c:v>503.29481899999996</c:v>
                </c:pt>
                <c:pt idx="17" formatCode="_ * #,##0_ ;_ * \-#,##0_ ;_ * &quot;-&quot;??_ ;_ @_ ">
                  <c:v>1488.9719589999997</c:v>
                </c:pt>
                <c:pt idx="18" formatCode="_ * #,##0_ ;_ * \-#,##0_ ;_ * &quot;-&quot;??_ ;_ @_ ">
                  <c:v>935.04276299999981</c:v>
                </c:pt>
                <c:pt idx="19" formatCode="_ * #,##0_ ;_ * \-#,##0_ ;_ * &quot;-&quot;??_ ;_ @_ ">
                  <c:v>866.89360199999999</c:v>
                </c:pt>
                <c:pt idx="20" formatCode="_ * #,##0_ ;_ * \-#,##0_ ;_ * &quot;-&quot;??_ ;_ @_ ">
                  <c:v>721.01195100000018</c:v>
                </c:pt>
                <c:pt idx="21" formatCode="_ * #,##0_ ;_ * \-#,##0_ ;_ * &quot;-&quot;??_ ;_ @_ ">
                  <c:v>118.52533</c:v>
                </c:pt>
                <c:pt idx="22" formatCode="_ * #,##0_ ;_ * \-#,##0_ ;_ * &quot;-&quot;??_ ;_ @_ ">
                  <c:v>112.63363</c:v>
                </c:pt>
                <c:pt idx="23" formatCode="_ * #,##0_ ;_ * \-#,##0_ ;_ * &quot;-&quot;??_ ;_ @_ ">
                  <c:v>157.351113</c:v>
                </c:pt>
                <c:pt idx="24" formatCode="_(* #,##0_);_(* \(#,##0\);_(* &quot;-&quot;??_);_(@_)">
                  <c:v>92.761235999999997</c:v>
                </c:pt>
                <c:pt idx="25" formatCode="_(* #,##0_);_(* \(#,##0\);_(* &quot;-&quot;??_);_(@_)">
                  <c:v>57.360366999999997</c:v>
                </c:pt>
                <c:pt idx="26" formatCode="_(* #,##0_);_(* \(#,##0\);_(* &quot;-&quot;??_);_(@_)">
                  <c:v>76.517431000000016</c:v>
                </c:pt>
                <c:pt idx="27" formatCode="_(* #,##0_);_(* \(#,##0\);_(* &quot;-&quot;??_);_(@_)">
                  <c:v>209.17937999999998</c:v>
                </c:pt>
                <c:pt idx="28" formatCode="_(* #,##0_);_(* \(#,##0\);_(* &quot;-&quot;??_);_(@_)">
                  <c:v>45.493170000000013</c:v>
                </c:pt>
                <c:pt idx="29" formatCode="_(* #,##0_);_(* \(#,##0\);_(* &quot;-&quot;??_);_(@_)">
                  <c:v>92.012484999999998</c:v>
                </c:pt>
                <c:pt idx="30" formatCode="_(* #,##0_);_(* \(#,##0\);_(* &quot;-&quot;??_);_(@_)">
                  <c:v>65.526607000000013</c:v>
                </c:pt>
                <c:pt idx="31" formatCode="_(* #,##0_);_(* \(#,##0\);_(* &quot;-&quot;??_);_(@_)">
                  <c:v>14.122890999999999</c:v>
                </c:pt>
                <c:pt idx="32" formatCode="_(* #,##0_);_(* \(#,##0\);_(* &quot;-&quot;??_);_(@_)">
                  <c:v>18.669679000000002</c:v>
                </c:pt>
                <c:pt idx="33" formatCode="_(* #,##0_);_(* \(#,##0\);_(* &quot;-&quot;??_);_(@_)">
                  <c:v>15.143264000000002</c:v>
                </c:pt>
                <c:pt idx="34" formatCode="_(* #,##0_);_(* \(#,##0\);_(* &quot;-&quot;??_);_(@_)">
                  <c:v>11.035423000000002</c:v>
                </c:pt>
                <c:pt idx="35" formatCode="_(* #,##0_);_(* \(#,##0\);_(* &quot;-&quot;??_);_(@_)">
                  <c:v>14.295155499999996</c:v>
                </c:pt>
                <c:pt idx="36" formatCode="_(* #,##0_);_(* \(#,##0\);_(* &quot;-&quot;??_);_(@_)">
                  <c:v>11.136143500000001</c:v>
                </c:pt>
              </c:numCache>
            </c:numRef>
          </c:val>
          <c:smooth val="0"/>
          <c:extLst>
            <c:ext xmlns:c16="http://schemas.microsoft.com/office/drawing/2014/chart" uri="{C3380CC4-5D6E-409C-BE32-E72D297353CC}">
              <c16:uniqueId val="{00000002-BEC2-46AA-B163-E6F40268D047}"/>
            </c:ext>
          </c:extLst>
        </c:ser>
        <c:ser>
          <c:idx val="7"/>
          <c:order val="7"/>
          <c:tx>
            <c:strRef>
              <c:f>'Turnover charts'!$R$3</c:f>
              <c:strCache>
                <c:ptCount val="1"/>
                <c:pt idx="0">
                  <c:v>ICEX Futures (LHS)</c:v>
                </c:pt>
              </c:strCache>
            </c:strRef>
          </c:tx>
          <c:spPr>
            <a:ln w="28575" cap="rnd">
              <a:solidFill>
                <a:schemeClr val="accent2">
                  <a:lumMod val="60000"/>
                </a:schemeClr>
              </a:solidFill>
              <a:round/>
            </a:ln>
            <a:effectLst/>
          </c:spPr>
          <c:marker>
            <c:symbol val="circle"/>
            <c:size val="5"/>
            <c:spPr>
              <a:solidFill>
                <a:schemeClr val="accent2">
                  <a:lumMod val="60000"/>
                </a:schemeClr>
              </a:solidFill>
              <a:ln w="9525">
                <a:solidFill>
                  <a:schemeClr val="accent2">
                    <a:lumMod val="60000"/>
                  </a:schemeClr>
                </a:solidFill>
              </a:ln>
              <a:effectLst/>
            </c:spPr>
          </c:marker>
          <c:cat>
            <c:numRef>
              <c:f>'Turnover charts'!$J$4:$J$55</c:f>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f>'Turnover charts'!$R$4:$R$55</c:f>
              <c:numCache>
                <c:formatCode>_(* #,##0_);_(* \(#,##0\);_(* "-"??_);_(@_)</c:formatCode>
                <c:ptCount val="37"/>
                <c:pt idx="0">
                  <c:v>416.07</c:v>
                </c:pt>
                <c:pt idx="1">
                  <c:v>479.26</c:v>
                </c:pt>
                <c:pt idx="2">
                  <c:v>362.4169</c:v>
                </c:pt>
                <c:pt idx="3">
                  <c:v>294.87927165000002</c:v>
                </c:pt>
                <c:pt idx="4">
                  <c:v>465.09</c:v>
                </c:pt>
                <c:pt idx="5">
                  <c:v>432.48</c:v>
                </c:pt>
                <c:pt idx="6">
                  <c:v>931.1400000000001</c:v>
                </c:pt>
                <c:pt idx="7">
                  <c:v>1605.41</c:v>
                </c:pt>
                <c:pt idx="8">
                  <c:v>2282</c:v>
                </c:pt>
                <c:pt idx="9">
                  <c:v>2864.81</c:v>
                </c:pt>
                <c:pt idx="10">
                  <c:v>3465.17</c:v>
                </c:pt>
                <c:pt idx="11" formatCode="_ * #,##0_ ;_ * \-#,##0_ ;_ * &quot;-&quot;??_ ;_ @_ ">
                  <c:v>5142.6001000000006</c:v>
                </c:pt>
                <c:pt idx="12" formatCode="_ * #,##0_ ;_ * \-#,##0_ ;_ * &quot;-&quot;??_ ;_ @_ ">
                  <c:v>4639</c:v>
                </c:pt>
                <c:pt idx="13" formatCode="_ * #,##0_ ;_ * \-#,##0_ ;_ * &quot;-&quot;??_ ;_ @_ ">
                  <c:v>4213.75</c:v>
                </c:pt>
                <c:pt idx="14" formatCode="_ * #,##0_ ;_ * \-#,##0_ ;_ * &quot;-&quot;??_ ;_ @_ ">
                  <c:v>4377.28</c:v>
                </c:pt>
                <c:pt idx="15" formatCode="_ * #,##0_ ;_ * \-#,##0_ ;_ * &quot;-&quot;??_ ;_ @_ ">
                  <c:v>2098.69</c:v>
                </c:pt>
                <c:pt idx="16" formatCode="_ * #,##0_ ;_ * \-#,##0_ ;_ * &quot;-&quot;??_ ;_ @_ ">
                  <c:v>1620.43</c:v>
                </c:pt>
                <c:pt idx="17" formatCode="_ * #,##0_ ;_ * \-#,##0_ ;_ * &quot;-&quot;??_ ;_ @_ ">
                  <c:v>1905.46</c:v>
                </c:pt>
                <c:pt idx="18" formatCode="_ * #,##0_ ;_ * \-#,##0_ ;_ * &quot;-&quot;??_ ;_ @_ ">
                  <c:v>1203.5981999999999</c:v>
                </c:pt>
                <c:pt idx="19" formatCode="_ * #,##0_ ;_ * \-#,##0_ ;_ * &quot;-&quot;??_ ;_ @_ ">
                  <c:v>3028.555050220004</c:v>
                </c:pt>
                <c:pt idx="20" formatCode="_ * #,##0_ ;_ * \-#,##0_ ;_ * &quot;-&quot;??_ ;_ @_ ">
                  <c:v>2871.1499999999996</c:v>
                </c:pt>
                <c:pt idx="21" formatCode="_ * #,##0_ ;_ * \-#,##0_ ;_ * &quot;-&quot;??_ ;_ @_ ">
                  <c:v>3042.59</c:v>
                </c:pt>
                <c:pt idx="22" formatCode="_ * #,##0_ ;_ * \-#,##0_ ;_ * &quot;-&quot;??_ ;_ @_ ">
                  <c:v>4160.09</c:v>
                </c:pt>
                <c:pt idx="23" formatCode="_ * #,##0_ ;_ * \-#,##0_ ;_ * &quot;-&quot;??_ ;_ @_ ">
                  <c:v>3755.1499999999996</c:v>
                </c:pt>
                <c:pt idx="24" formatCode="_ * #,##0_ ;_ * \-#,##0_ ;_ * &quot;-&quot;??_ ;_ @_ ">
                  <c:v>2881.026557055</c:v>
                </c:pt>
                <c:pt idx="25" formatCode="_ * #,##0_ ;_ * \-#,##0_ ;_ * &quot;-&quot;??_ ;_ @_ ">
                  <c:v>723.36930000000007</c:v>
                </c:pt>
                <c:pt idx="26" formatCode="_ * #,##0_ ;_ * \-#,##0_ ;_ * &quot;-&quot;??_ ;_ @_ ">
                  <c:v>489.81831228499891</c:v>
                </c:pt>
                <c:pt idx="27" formatCode="_ * #,##0_ ;_ * \-#,##0_ ;_ * &quot;-&quot;??_ ;_ @_ ">
                  <c:v>83.703000000000003</c:v>
                </c:pt>
                <c:pt idx="28" formatCode="_ * #,##0_ ;_ * \-#,##0_ ;_ * &quot;-&quot;??_ ;_ @_ ">
                  <c:v>4.3270248599999999</c:v>
                </c:pt>
                <c:pt idx="29" formatCode="_ * #,##0.000_ ;_ * \-#,##0.000_ ;_ * &quot;-&quot;??_ ;_ @_ ">
                  <c:v>1.6379999999999999E-3</c:v>
                </c:pt>
                <c:pt idx="30" formatCode="_ * #,##0.0_ ;_ * \-#,##0.0_ ;_ * &quot;-&quot;??_ ;_ @_ ">
                  <c:v>0.1153</c:v>
                </c:pt>
                <c:pt idx="31" formatCode="_ * #,##0.0_ ;_ * \-#,##0.0_ ;_ * &quot;-&quot;??_ ;_ @_ ">
                  <c:v>0.1066</c:v>
                </c:pt>
                <c:pt idx="32" formatCode="_(* #,##0.00_);_(* \(#,##0.00\);_(* &quot;-&quot;??_);_(@_)">
                  <c:v>2.7824999999999999E-2</c:v>
                </c:pt>
                <c:pt idx="33">
                  <c:v>1.8845000000000001</c:v>
                </c:pt>
                <c:pt idx="34">
                  <c:v>10.392370000000001</c:v>
                </c:pt>
                <c:pt idx="35">
                  <c:v>16.025917</c:v>
                </c:pt>
                <c:pt idx="36">
                  <c:v>19.011840000000003</c:v>
                </c:pt>
              </c:numCache>
            </c:numRef>
          </c:val>
          <c:smooth val="0"/>
          <c:extLst>
            <c:ext xmlns:c16="http://schemas.microsoft.com/office/drawing/2014/chart" uri="{C3380CC4-5D6E-409C-BE32-E72D297353CC}">
              <c16:uniqueId val="{00000003-BEC2-46AA-B163-E6F40268D047}"/>
            </c:ext>
          </c:extLst>
        </c:ser>
        <c:dLbls>
          <c:showLegendKey val="0"/>
          <c:showVal val="0"/>
          <c:showCatName val="0"/>
          <c:showSerName val="0"/>
          <c:showPercent val="0"/>
          <c:showBubbleSize val="0"/>
        </c:dLbls>
        <c:marker val="1"/>
        <c:smooth val="0"/>
        <c:axId val="841312824"/>
        <c:axId val="841313216"/>
        <c:extLst>
          <c:ext xmlns:c15="http://schemas.microsoft.com/office/drawing/2012/chart" uri="{02D57815-91ED-43cb-92C2-25804820EDAC}">
            <c15:filteredLineSeries>
              <c15:ser>
                <c:idx val="3"/>
                <c:order val="3"/>
                <c:tx>
                  <c:strRef>
                    <c:extLst>
                      <c:ext uri="{02D57815-91ED-43cb-92C2-25804820EDAC}">
                        <c15:formulaRef>
                          <c15:sqref>'Turnover charts'!$N$3</c15:sqref>
                        </c15:formulaRef>
                      </c:ext>
                    </c:extLst>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extLst>
                      <c:ext uri="{02D57815-91ED-43cb-92C2-25804820EDAC}">
                        <c15:formulaRef>
                          <c15:sqref>'Turnover charts'!$J$4:$J$55</c15:sqref>
                        </c15:formulaRef>
                      </c:ext>
                    </c:extLst>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extLst>
                      <c:ext uri="{02D57815-91ED-43cb-92C2-25804820EDAC}">
                        <c15:formulaRef>
                          <c15:sqref>'Turnover charts'!$N$4:$N$55</c15:sqref>
                        </c15:formulaRef>
                      </c:ext>
                    </c:extLst>
                    <c:numCache>
                      <c:formatCode>General</c:formatCode>
                      <c:ptCount val="37"/>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pt idx="30" formatCode="_ * #,##0_ ;_ * \-#,##0_ ;_ * &quot;-&quot;??_ ;_ @_ ">
                        <c:v>58331.41</c:v>
                      </c:pt>
                      <c:pt idx="31" formatCode="_ * #,##0_ ;_ * \-#,##0_ ;_ * &quot;-&quot;??_ ;_ @_ ">
                        <c:v>56137.399999999994</c:v>
                      </c:pt>
                      <c:pt idx="32" formatCode="_ * #,##0_ ;_ * \-#,##0_ ;_ * &quot;-&quot;??_ ;_ @_ ">
                        <c:v>53954.21</c:v>
                      </c:pt>
                      <c:pt idx="33" formatCode="_ * #,##0_ ;_ * \-#,##0_ ;_ * &quot;-&quot;??_ ;_ @_ ">
                        <c:v>66801.039999999994</c:v>
                      </c:pt>
                      <c:pt idx="34" formatCode="_ * #,##0_ ;_ * \-#,##0_ ;_ * &quot;-&quot;??_ ;_ @_ ">
                        <c:v>62440.93</c:v>
                      </c:pt>
                      <c:pt idx="35" formatCode="_ * #,##0_ ;_ * \-#,##0_ ;_ * &quot;-&quot;??_ ;_ @_ ">
                        <c:v>65087.26</c:v>
                      </c:pt>
                      <c:pt idx="36" formatCode="_ * #,##0_ ;_ * \-#,##0_ ;_ * &quot;-&quot;??_ ;_ @_ ">
                        <c:v>71581.36</c:v>
                      </c:pt>
                    </c:numCache>
                  </c:numRef>
                </c:val>
                <c:smooth val="0"/>
                <c:extLst>
                  <c:ext xmlns:c16="http://schemas.microsoft.com/office/drawing/2014/chart" uri="{C3380CC4-5D6E-409C-BE32-E72D297353CC}">
                    <c16:uniqueId val="{00000006-BEC2-46AA-B163-E6F40268D047}"/>
                  </c:ext>
                </c:extLst>
              </c15:ser>
            </c15:filteredLineSeries>
            <c15:filteredLineSeries>
              <c15:ser>
                <c:idx val="5"/>
                <c:order val="5"/>
                <c:tx>
                  <c:strRef>
                    <c:extLst xmlns:c15="http://schemas.microsoft.com/office/drawing/2012/chart">
                      <c:ext xmlns:c15="http://schemas.microsoft.com/office/drawing/2012/chart" uri="{02D57815-91ED-43cb-92C2-25804820EDAC}">
                        <c15:formulaRef>
                          <c15:sqref>'Turnover charts'!$P$3</c15:sqref>
                        </c15:formulaRef>
                      </c:ext>
                    </c:extLst>
                    <c:strCache>
                      <c:ptCount val="1"/>
                      <c:pt idx="0">
                        <c:v>NSE option (RHS)</c:v>
                      </c:pt>
                    </c:strCache>
                  </c:strRef>
                </c:tx>
                <c:spPr>
                  <a:ln w="28575" cap="rnd">
                    <a:solidFill>
                      <a:schemeClr val="accent6"/>
                    </a:solidFill>
                    <a:round/>
                  </a:ln>
                  <a:effectLst/>
                </c:spPr>
                <c:marker>
                  <c:symbol val="none"/>
                </c:marker>
                <c:cat>
                  <c:numRef>
                    <c:extLst xmlns:c15="http://schemas.microsoft.com/office/drawing/2012/chart">
                      <c:ext xmlns:c15="http://schemas.microsoft.com/office/drawing/2012/chart" uri="{02D57815-91ED-43cb-92C2-25804820EDAC}">
                        <c15:formulaRef>
                          <c15:sqref>'Turnover charts'!$J$4:$J$55</c15:sqref>
                        </c15:formulaRef>
                      </c:ext>
                    </c:extLst>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extLst xmlns:c15="http://schemas.microsoft.com/office/drawing/2012/chart">
                      <c:ext xmlns:c15="http://schemas.microsoft.com/office/drawing/2012/chart" uri="{02D57815-91ED-43cb-92C2-25804820EDAC}">
                        <c15:formulaRef>
                          <c15:sqref>'Turnover charts'!$P$4:$P$55</c15:sqref>
                        </c15:formulaRef>
                      </c:ext>
                    </c:extLst>
                    <c:numCache>
                      <c:formatCode>General</c:formatCode>
                      <c:ptCount val="37"/>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pt idx="30" formatCode="_ * #,##0_ ;_ * \-#,##0_ ;_ * &quot;-&quot;??_ ;_ @_ ">
                        <c:v>1734.4075534999997</c:v>
                      </c:pt>
                      <c:pt idx="31" formatCode="_ * #,##0_ ;_ * \-#,##0_ ;_ * &quot;-&quot;??_ ;_ @_ ">
                        <c:v>1856.5995699999994</c:v>
                      </c:pt>
                      <c:pt idx="32" formatCode="_ * #,##0_ ;_ * \-#,##0_ ;_ * &quot;-&quot;??_ ;_ @_ ">
                        <c:v>2633.3125410000002</c:v>
                      </c:pt>
                      <c:pt idx="33" formatCode="_ * #,##0_ ;_ * \-#,##0_ ;_ * &quot;-&quot;??_ ;_ @_ ">
                        <c:v>1537.8181204999996</c:v>
                      </c:pt>
                      <c:pt idx="34" formatCode="_ * #,##0_ ;_ * \-#,##0_ ;_ * &quot;-&quot;??_ ;_ @_ ">
                        <c:v>1913.7781235000002</c:v>
                      </c:pt>
                      <c:pt idx="35" formatCode="_ * #,##0_ ;_ * \-#,##0_ ;_ * &quot;-&quot;??_ ;_ @_ ">
                        <c:v>1103.8054694999996</c:v>
                      </c:pt>
                      <c:pt idx="36" formatCode="_ * #,##0_ ;_ * \-#,##0_ ;_ * &quot;-&quot;??_ ;_ @_ ">
                        <c:v>1206.0163299999995</c:v>
                      </c:pt>
                    </c:numCache>
                  </c:numRef>
                </c:val>
                <c:smooth val="0"/>
                <c:extLst xmlns:c15="http://schemas.microsoft.com/office/drawing/2012/chart">
                  <c:ext xmlns:c16="http://schemas.microsoft.com/office/drawing/2014/chart" uri="{C3380CC4-5D6E-409C-BE32-E72D297353CC}">
                    <c16:uniqueId val="{00000007-BEC2-46AA-B163-E6F40268D047}"/>
                  </c:ext>
                </c:extLst>
              </c15:ser>
            </c15:filteredLineSeries>
          </c:ext>
        </c:extLst>
      </c:lineChart>
      <c:lineChart>
        <c:grouping val="standard"/>
        <c:varyColors val="0"/>
        <c:ser>
          <c:idx val="6"/>
          <c:order val="6"/>
          <c:tx>
            <c:strRef>
              <c:f>'Turnover charts'!$Q$3</c:f>
              <c:strCache>
                <c:ptCount val="1"/>
                <c:pt idx="0">
                  <c:v>NCDEX futures (LHS)</c:v>
                </c:pt>
              </c:strCache>
            </c:strRef>
          </c:tx>
          <c:spPr>
            <a:ln w="19050" cap="rnd">
              <a:solidFill>
                <a:srgbClr val="FF0000"/>
              </a:solidFill>
              <a:round/>
            </a:ln>
            <a:effectLst/>
          </c:spPr>
          <c:marker>
            <c:symbol val="circle"/>
            <c:size val="5"/>
            <c:spPr>
              <a:solidFill>
                <a:schemeClr val="accent1">
                  <a:lumMod val="60000"/>
                </a:schemeClr>
              </a:solidFill>
              <a:ln w="9525">
                <a:solidFill>
                  <a:srgbClr val="FF0000"/>
                </a:solidFill>
              </a:ln>
              <a:effectLst/>
            </c:spPr>
          </c:marker>
          <c:cat>
            <c:numRef>
              <c:f>'Turnover charts'!$J$4:$J$55</c:f>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f>'Turnover charts'!$Q$4:$Q$55</c:f>
              <c:numCache>
                <c:formatCode>_(* #,##0_);_(* \(#,##0\);_(* "-"??_);_(@_)</c:formatCode>
                <c:ptCount val="37"/>
                <c:pt idx="0">
                  <c:v>0</c:v>
                </c:pt>
                <c:pt idx="1">
                  <c:v>0</c:v>
                </c:pt>
                <c:pt idx="2">
                  <c:v>0</c:v>
                </c:pt>
                <c:pt idx="3">
                  <c:v>0</c:v>
                </c:pt>
                <c:pt idx="4">
                  <c:v>0</c:v>
                </c:pt>
                <c:pt idx="5">
                  <c:v>0</c:v>
                </c:pt>
                <c:pt idx="6" formatCode="_ * #,##0_ ;_ * \-#,##0_ ;_ * &quot;-&quot;??_ ;_ @_ ">
                  <c:v>0</c:v>
                </c:pt>
                <c:pt idx="7" formatCode="_ * #,##0_ ;_ * \-#,##0_ ;_ * &quot;-&quot;??_ ;_ @_ ">
                  <c:v>0</c:v>
                </c:pt>
                <c:pt idx="8" formatCode="_ * #,##0_ ;_ * \-#,##0_ ;_ * &quot;-&quot;??_ ;_ @_ ">
                  <c:v>0</c:v>
                </c:pt>
                <c:pt idx="9" formatCode="_ * #,##0_ ;_ * \-#,##0_ ;_ * &quot;-&quot;??_ ;_ @_ ">
                  <c:v>0</c:v>
                </c:pt>
                <c:pt idx="10" formatCode="_ * #,##0_ ;_ * \-#,##0_ ;_ * &quot;-&quot;??_ ;_ @_ ">
                  <c:v>0</c:v>
                </c:pt>
                <c:pt idx="11" formatCode="_ * #,##0_ ;_ * \-#,##0_ ;_ * &quot;-&quot;??_ ;_ @_ ">
                  <c:v>0</c:v>
                </c:pt>
                <c:pt idx="12" formatCode="_ * #,##0_ ;_ * \-#,##0_ ;_ * &quot;-&quot;??_ ;_ @_ ">
                  <c:v>0</c:v>
                </c:pt>
                <c:pt idx="13" formatCode="_ * #,##0_ ;_ * \-#,##0_ ;_ * &quot;-&quot;??_ ;_ @_ ">
                  <c:v>0</c:v>
                </c:pt>
                <c:pt idx="14" formatCode="_ * #,##0_ ;_ * \-#,##0_ ;_ * &quot;-&quot;??_ ;_ @_ ">
                  <c:v>0</c:v>
                </c:pt>
                <c:pt idx="15" formatCode="_ * #,##0_ ;_ * \-#,##0_ ;_ * &quot;-&quot;??_ ;_ @_ ">
                  <c:v>0</c:v>
                </c:pt>
                <c:pt idx="16" formatCode="_ * #,##0_ ;_ * \-#,##0_ ;_ * &quot;-&quot;??_ ;_ @_ ">
                  <c:v>0</c:v>
                </c:pt>
                <c:pt idx="17">
                  <c:v>0</c:v>
                </c:pt>
                <c:pt idx="18">
                  <c:v>0</c:v>
                </c:pt>
                <c:pt idx="19">
                  <c:v>0</c:v>
                </c:pt>
                <c:pt idx="20">
                  <c:v>0</c:v>
                </c:pt>
                <c:pt idx="21">
                  <c:v>0</c:v>
                </c:pt>
                <c:pt idx="22">
                  <c:v>0</c:v>
                </c:pt>
                <c:pt idx="23">
                  <c:v>0</c:v>
                </c:pt>
                <c:pt idx="24">
                  <c:v>0</c:v>
                </c:pt>
                <c:pt idx="25">
                  <c:v>0</c:v>
                </c:pt>
                <c:pt idx="26" formatCode="_ * #,##0_ ;_ * \-#,##0_ ;_ * &quot;-&quot;??_ ;_ @_ ">
                  <c:v>0</c:v>
                </c:pt>
                <c:pt idx="27" formatCode="_ * #,##0_ ;_ * \-#,##0_ ;_ * &quot;-&quot;??_ ;_ @_ ">
                  <c:v>0</c:v>
                </c:pt>
                <c:pt idx="28" formatCode="_ * #,##0_ ;_ * \-#,##0_ ;_ * &quot;-&quot;??_ ;_ @_ ">
                  <c:v>0</c:v>
                </c:pt>
                <c:pt idx="29" formatCode="_ * #,##0_ ;_ * \-#,##0_ ;_ * &quot;-&quot;??_ ;_ @_ ">
                  <c:v>0</c:v>
                </c:pt>
                <c:pt idx="30" formatCode="_ * #,##0_ ;_ * \-#,##0_ ;_ * &quot;-&quot;??_ ;_ @_ ">
                  <c:v>0</c:v>
                </c:pt>
                <c:pt idx="31" formatCode="_ * #,##0_ ;_ * \-#,##0_ ;_ * &quot;-&quot;??_ ;_ @_ ">
                  <c:v>0</c:v>
                </c:pt>
                <c:pt idx="32" formatCode="_ * #,##0_ ;_ * \-#,##0_ ;_ * &quot;-&quot;??_ ;_ @_ ">
                  <c:v>0</c:v>
                </c:pt>
                <c:pt idx="33" formatCode="_ * #,##0_ ;_ * \-#,##0_ ;_ * &quot;-&quot;??_ ;_ @_ ">
                  <c:v>0</c:v>
                </c:pt>
                <c:pt idx="34" formatCode="_ * #,##0_ ;_ * \-#,##0_ ;_ * &quot;-&quot;??_ ;_ @_ ">
                  <c:v>24.235309999999998</c:v>
                </c:pt>
                <c:pt idx="35" formatCode="_ * #,##0_ ;_ * \-#,##0_ ;_ * &quot;-&quot;??_ ;_ @_ ">
                  <c:v>38.773069999999997</c:v>
                </c:pt>
                <c:pt idx="36" formatCode="_ * #,##0_ ;_ * \-#,##0_ ;_ * &quot;-&quot;??_ ;_ @_ ">
                  <c:v>25.14254</c:v>
                </c:pt>
              </c:numCache>
            </c:numRef>
          </c:val>
          <c:smooth val="0"/>
          <c:extLst>
            <c:ext xmlns:c16="http://schemas.microsoft.com/office/drawing/2014/chart" uri="{C3380CC4-5D6E-409C-BE32-E72D297353CC}">
              <c16:uniqueId val="{00000004-BEC2-46AA-B163-E6F40268D047}"/>
            </c:ext>
          </c:extLst>
        </c:ser>
        <c:dLbls>
          <c:showLegendKey val="0"/>
          <c:showVal val="0"/>
          <c:showCatName val="0"/>
          <c:showSerName val="0"/>
          <c:showPercent val="0"/>
          <c:showBubbleSize val="0"/>
        </c:dLbls>
        <c:marker val="1"/>
        <c:smooth val="0"/>
        <c:axId val="726424808"/>
        <c:axId val="651463480"/>
      </c:lineChart>
      <c:dateAx>
        <c:axId val="841312824"/>
        <c:scaling>
          <c:orientation val="minMax"/>
          <c:min val="43922"/>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41313216"/>
        <c:crosses val="autoZero"/>
        <c:auto val="1"/>
        <c:lblOffset val="100"/>
        <c:baseTimeUnit val="months"/>
      </c:dateAx>
      <c:valAx>
        <c:axId val="841313216"/>
        <c:scaling>
          <c:orientation val="minMax"/>
          <c:max val="500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841312824"/>
        <c:crosses val="autoZero"/>
        <c:crossBetween val="between"/>
        <c:majorUnit val="1000"/>
      </c:valAx>
      <c:valAx>
        <c:axId val="651463480"/>
        <c:scaling>
          <c:orientation val="minMax"/>
          <c:max val="1000000"/>
        </c:scaling>
        <c:delete val="0"/>
        <c:axPos val="r"/>
        <c:title>
          <c:tx>
            <c:rich>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r>
                  <a:rPr lang="en-US" sz="900" b="0" i="0" baseline="0">
                    <a:effectLst/>
                  </a:rPr>
                  <a:t>₹</a:t>
                </a:r>
                <a:r>
                  <a:rPr lang="en-IN" sz="900" b="0" i="0" baseline="0">
                    <a:effectLst/>
                  </a:rPr>
                  <a:t> crore</a:t>
                </a:r>
                <a:endParaRPr lang="en-IN" sz="900">
                  <a:effectLst/>
                </a:endParaRPr>
              </a:p>
            </c:rich>
          </c:tx>
          <c:layout/>
          <c:overlay val="0"/>
          <c:spPr>
            <a:noFill/>
            <a:ln>
              <a:noFill/>
            </a:ln>
            <a:effectLst/>
          </c:spPr>
          <c:txPr>
            <a:bodyPr rot="5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26424808"/>
        <c:crosses val="max"/>
        <c:crossBetween val="between"/>
      </c:valAx>
      <c:dateAx>
        <c:axId val="726424808"/>
        <c:scaling>
          <c:orientation val="minMax"/>
        </c:scaling>
        <c:delete val="1"/>
        <c:axPos val="b"/>
        <c:numFmt formatCode="mmm\-yy" sourceLinked="1"/>
        <c:majorTickMark val="out"/>
        <c:minorTickMark val="none"/>
        <c:tickLblPos val="nextTo"/>
        <c:crossAx val="651463480"/>
        <c:crosses val="autoZero"/>
        <c:auto val="1"/>
        <c:lblOffset val="100"/>
        <c:baseTimeUnit val="months"/>
        <c:majorUnit val="1"/>
        <c:minorUnit val="1"/>
      </c:dateAx>
      <c:spPr>
        <a:noFill/>
        <a:ln>
          <a:noFill/>
        </a:ln>
        <a:effectLst/>
      </c:spPr>
    </c:plotArea>
    <c:legend>
      <c:legendPos val="b"/>
      <c:layout>
        <c:manualLayout>
          <c:xMode val="edge"/>
          <c:yMode val="edge"/>
          <c:x val="0.10228638086905803"/>
          <c:y val="0.88298072419128193"/>
          <c:w val="0.73554005798164013"/>
          <c:h val="0.10445475312146978"/>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923031447844071"/>
          <c:y val="2.5425336553711E-2"/>
          <c:w val="0.76899943817894811"/>
          <c:h val="0.72457814568050793"/>
        </c:manualLayout>
      </c:layout>
      <c:barChart>
        <c:barDir val="col"/>
        <c:grouping val="stacked"/>
        <c:varyColors val="0"/>
        <c:ser>
          <c:idx val="1"/>
          <c:order val="0"/>
          <c:tx>
            <c:v>MCX Options (LHS)</c:v>
          </c:tx>
          <c:spPr>
            <a:solidFill>
              <a:schemeClr val="accent2"/>
            </a:solidFill>
            <a:ln w="12700">
              <a:solidFill>
                <a:schemeClr val="tx1">
                  <a:lumMod val="75000"/>
                  <a:lumOff val="25000"/>
                </a:schemeClr>
              </a:solidFill>
            </a:ln>
            <a:effectLst/>
          </c:spPr>
          <c:invertIfNegative val="0"/>
          <c:cat>
            <c:numRef>
              <c:f>'Turnover charts'!$J$4:$J$55</c:f>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f>'Turnover charts'!$L$4:$L$55</c:f>
              <c:numCache>
                <c:formatCode>_(* #,##0_);_(* \(#,##0\);_(* "-"??_);_(@_)</c:formatCode>
                <c:ptCount val="37"/>
                <c:pt idx="0">
                  <c:v>703.93000000000006</c:v>
                </c:pt>
                <c:pt idx="1">
                  <c:v>2640.42</c:v>
                </c:pt>
                <c:pt idx="2">
                  <c:v>16870.32</c:v>
                </c:pt>
                <c:pt idx="3">
                  <c:v>15987.750000000002</c:v>
                </c:pt>
                <c:pt idx="4">
                  <c:v>19672.011136500001</c:v>
                </c:pt>
                <c:pt idx="5">
                  <c:v>11041.360000000002</c:v>
                </c:pt>
                <c:pt idx="6">
                  <c:v>46624.133279499998</c:v>
                </c:pt>
                <c:pt idx="7">
                  <c:v>15644.809233</c:v>
                </c:pt>
                <c:pt idx="8">
                  <c:v>10235</c:v>
                </c:pt>
                <c:pt idx="9">
                  <c:v>9813.9104735000001</c:v>
                </c:pt>
                <c:pt idx="10">
                  <c:v>10472.720000000001</c:v>
                </c:pt>
                <c:pt idx="11">
                  <c:v>9291.3051825000002</c:v>
                </c:pt>
                <c:pt idx="12">
                  <c:v>12651.029999999999</c:v>
                </c:pt>
                <c:pt idx="13">
                  <c:v>8685.25</c:v>
                </c:pt>
                <c:pt idx="14">
                  <c:v>16861.852479000001</c:v>
                </c:pt>
                <c:pt idx="15">
                  <c:v>14616.749534499999</c:v>
                </c:pt>
                <c:pt idx="16">
                  <c:v>21042.729179999998</c:v>
                </c:pt>
                <c:pt idx="17">
                  <c:v>23329.757045500002</c:v>
                </c:pt>
                <c:pt idx="18">
                  <c:v>31458.28</c:v>
                </c:pt>
                <c:pt idx="19">
                  <c:v>17859.342895000002</c:v>
                </c:pt>
                <c:pt idx="20">
                  <c:v>21219.491989000002</c:v>
                </c:pt>
                <c:pt idx="21">
                  <c:v>15383.161334999999</c:v>
                </c:pt>
                <c:pt idx="22">
                  <c:v>40469.633901499998</c:v>
                </c:pt>
                <c:pt idx="23">
                  <c:v>33997.311160500001</c:v>
                </c:pt>
                <c:pt idx="24">
                  <c:v>46819.111044999998</c:v>
                </c:pt>
                <c:pt idx="25">
                  <c:v>8497.2066059999997</c:v>
                </c:pt>
                <c:pt idx="26">
                  <c:v>16049.714781499999</c:v>
                </c:pt>
                <c:pt idx="27">
                  <c:v>15138.664696</c:v>
                </c:pt>
                <c:pt idx="28">
                  <c:v>21064.531812000001</c:v>
                </c:pt>
                <c:pt idx="29">
                  <c:v>28998.239947999999</c:v>
                </c:pt>
                <c:pt idx="30">
                  <c:v>26027.212639000005</c:v>
                </c:pt>
                <c:pt idx="31">
                  <c:v>9915.5255409999991</c:v>
                </c:pt>
                <c:pt idx="32">
                  <c:v>26564.103460999999</c:v>
                </c:pt>
                <c:pt idx="33">
                  <c:v>15258.518517999999</c:v>
                </c:pt>
                <c:pt idx="34">
                  <c:v>25959.086283000004</c:v>
                </c:pt>
                <c:pt idx="35">
                  <c:v>17156.310860000001</c:v>
                </c:pt>
                <c:pt idx="36">
                  <c:v>28949.873640999998</c:v>
                </c:pt>
              </c:numCache>
            </c:numRef>
          </c:val>
          <c:extLst>
            <c:ext xmlns:c16="http://schemas.microsoft.com/office/drawing/2014/chart" uri="{C3380CC4-5D6E-409C-BE32-E72D297353CC}">
              <c16:uniqueId val="{00000000-080A-47D5-BE18-273672632130}"/>
            </c:ext>
          </c:extLst>
        </c:ser>
        <c:dLbls>
          <c:showLegendKey val="0"/>
          <c:showVal val="0"/>
          <c:showCatName val="0"/>
          <c:showSerName val="0"/>
          <c:showPercent val="0"/>
          <c:showBubbleSize val="0"/>
        </c:dLbls>
        <c:gapWidth val="219"/>
        <c:overlap val="100"/>
        <c:axId val="734034760"/>
        <c:axId val="734037112"/>
      </c:barChart>
      <c:lineChart>
        <c:grouping val="standard"/>
        <c:varyColors val="0"/>
        <c:ser>
          <c:idx val="5"/>
          <c:order val="2"/>
          <c:tx>
            <c:v>NSE Options (LHS)</c:v>
          </c:tx>
          <c:spPr>
            <a:ln w="28575" cap="rnd">
              <a:solidFill>
                <a:schemeClr val="accent6"/>
              </a:solidFill>
              <a:round/>
            </a:ln>
            <a:effectLst/>
          </c:spPr>
          <c:marker>
            <c:symbol val="none"/>
          </c:marker>
          <c:cat>
            <c:numRef>
              <c:f>'Turnover charts'!$J$4:$J$55</c:f>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f>'Turnover charts'!$P$4:$P$55</c:f>
              <c:numCache>
                <c:formatCode>General</c:formatCode>
                <c:ptCount val="37"/>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 #,##0_ ;_ * \-#,##0_ ;_ * &quot;-&quot;??_ ;_ @_ ">
                  <c:v>0</c:v>
                </c:pt>
                <c:pt idx="14" formatCode="_ * #,##0_ ;_ * \-#,##0_ ;_ * &quot;-&quot;??_ ;_ @_ ">
                  <c:v>0</c:v>
                </c:pt>
                <c:pt idx="15" formatCode="_ * #,##0_ ;_ * \-#,##0_ ;_ * &quot;-&quot;??_ ;_ @_ ">
                  <c:v>0</c:v>
                </c:pt>
                <c:pt idx="16" formatCode="_ * #,##0_ ;_ * \-#,##0_ ;_ * &quot;-&quot;??_ ;_ @_ ">
                  <c:v>0</c:v>
                </c:pt>
                <c:pt idx="17" formatCode="_ * #,##0_ ;_ * \-#,##0_ ;_ * &quot;-&quot;??_ ;_ @_ ">
                  <c:v>0</c:v>
                </c:pt>
                <c:pt idx="18" formatCode="_ * #,##0_ ;_ * \-#,##0_ ;_ * &quot;-&quot;??_ ;_ @_ ">
                  <c:v>0</c:v>
                </c:pt>
                <c:pt idx="19" formatCode="_ * #,##0_ ;_ * \-#,##0_ ;_ * &quot;-&quot;??_ ;_ @_ ">
                  <c:v>0</c:v>
                </c:pt>
                <c:pt idx="20" formatCode="_ * #,##0_ ;_ * \-#,##0_ ;_ * &quot;-&quot;??_ ;_ @_ ">
                  <c:v>0</c:v>
                </c:pt>
                <c:pt idx="21" formatCode="_ * #,##0_ ;_ * \-#,##0_ ;_ * &quot;-&quot;??_ ;_ @_ ">
                  <c:v>0</c:v>
                </c:pt>
                <c:pt idx="22" formatCode="_ * #,##0_ ;_ * \-#,##0_ ;_ * &quot;-&quot;??_ ;_ @_ ">
                  <c:v>0</c:v>
                </c:pt>
                <c:pt idx="23" formatCode="_ * #,##0_ ;_ * \-#,##0_ ;_ * &quot;-&quot;??_ ;_ @_ ">
                  <c:v>0</c:v>
                </c:pt>
                <c:pt idx="24" formatCode="_(* #,##0_);_(* \(#,##0\);_(* &quot;-&quot;??_);_(@_)">
                  <c:v>0</c:v>
                </c:pt>
                <c:pt idx="25" formatCode="_(* #,##0_);_(* \(#,##0\);_(* &quot;-&quot;??_);_(@_)">
                  <c:v>0</c:v>
                </c:pt>
                <c:pt idx="26" formatCode="_(* #,##0_);_(* \(#,##0\);_(* &quot;-&quot;??_);_(@_)">
                  <c:v>0</c:v>
                </c:pt>
                <c:pt idx="27" formatCode="_ * #,##0_ ;_ * \-#,##0_ ;_ * &quot;-&quot;??_ ;_ @_ ">
                  <c:v>1751.8752035000002</c:v>
                </c:pt>
                <c:pt idx="28" formatCode="_ * #,##0_ ;_ * \-#,##0_ ;_ * &quot;-&quot;??_ ;_ @_ ">
                  <c:v>6235.7549739999995</c:v>
                </c:pt>
                <c:pt idx="29" formatCode="_ * #,##0_ ;_ * \-#,##0_ ;_ * &quot;-&quot;??_ ;_ @_ ">
                  <c:v>2381.9200970000002</c:v>
                </c:pt>
                <c:pt idx="30" formatCode="_ * #,##0_ ;_ * \-#,##0_ ;_ * &quot;-&quot;??_ ;_ @_ ">
                  <c:v>1734.4075534999997</c:v>
                </c:pt>
                <c:pt idx="31" formatCode="_ * #,##0_ ;_ * \-#,##0_ ;_ * &quot;-&quot;??_ ;_ @_ ">
                  <c:v>1856.5995699999994</c:v>
                </c:pt>
                <c:pt idx="32" formatCode="_ * #,##0_ ;_ * \-#,##0_ ;_ * &quot;-&quot;??_ ;_ @_ ">
                  <c:v>2633.3125410000002</c:v>
                </c:pt>
                <c:pt idx="33" formatCode="_ * #,##0_ ;_ * \-#,##0_ ;_ * &quot;-&quot;??_ ;_ @_ ">
                  <c:v>1537.8181204999996</c:v>
                </c:pt>
                <c:pt idx="34" formatCode="_ * #,##0_ ;_ * \-#,##0_ ;_ * &quot;-&quot;??_ ;_ @_ ">
                  <c:v>1913.7781235000002</c:v>
                </c:pt>
                <c:pt idx="35" formatCode="_ * #,##0_ ;_ * \-#,##0_ ;_ * &quot;-&quot;??_ ;_ @_ ">
                  <c:v>1103.8054694999996</c:v>
                </c:pt>
                <c:pt idx="36" formatCode="_ * #,##0_ ;_ * \-#,##0_ ;_ * &quot;-&quot;??_ ;_ @_ ">
                  <c:v>1206.0163299999995</c:v>
                </c:pt>
              </c:numCache>
            </c:numRef>
          </c:val>
          <c:smooth val="0"/>
          <c:extLst>
            <c:ext xmlns:c16="http://schemas.microsoft.com/office/drawing/2014/chart" uri="{C3380CC4-5D6E-409C-BE32-E72D297353CC}">
              <c16:uniqueId val="{00000001-080A-47D5-BE18-273672632130}"/>
            </c:ext>
          </c:extLst>
        </c:ser>
        <c:dLbls>
          <c:showLegendKey val="0"/>
          <c:showVal val="0"/>
          <c:showCatName val="0"/>
          <c:showSerName val="0"/>
          <c:showPercent val="0"/>
          <c:showBubbleSize val="0"/>
        </c:dLbls>
        <c:marker val="1"/>
        <c:smooth val="0"/>
        <c:axId val="734034760"/>
        <c:axId val="734037112"/>
      </c:lineChart>
      <c:lineChart>
        <c:grouping val="standard"/>
        <c:varyColors val="0"/>
        <c:ser>
          <c:idx val="3"/>
          <c:order val="1"/>
          <c:tx>
            <c:strRef>
              <c:f>'Turnover charts'!$N$3</c:f>
              <c:strCache>
                <c:ptCount val="1"/>
                <c:pt idx="0">
                  <c:v>BSE Options (RHS)</c:v>
                </c:pt>
              </c:strCache>
            </c:strRef>
          </c:tx>
          <c:spPr>
            <a:ln w="28575" cap="rnd">
              <a:solidFill>
                <a:srgbClr val="0070C0"/>
              </a:solidFill>
              <a:round/>
            </a:ln>
            <a:effectLst/>
          </c:spPr>
          <c:marker>
            <c:symbol val="circle"/>
            <c:size val="5"/>
            <c:spPr>
              <a:solidFill>
                <a:srgbClr val="0070C0"/>
              </a:solidFill>
              <a:ln w="9525">
                <a:solidFill>
                  <a:srgbClr val="0070C0"/>
                </a:solidFill>
              </a:ln>
              <a:effectLst/>
            </c:spPr>
          </c:marker>
          <c:cat>
            <c:numRef>
              <c:f>'Turnover charts'!$J$4:$J$55</c:f>
              <c:numCache>
                <c:formatCode>mmm\-yy</c:formatCode>
                <c:ptCount val="37"/>
                <c:pt idx="0">
                  <c:v>43160</c:v>
                </c:pt>
                <c:pt idx="1">
                  <c:v>43191</c:v>
                </c:pt>
                <c:pt idx="2">
                  <c:v>43221</c:v>
                </c:pt>
                <c:pt idx="3">
                  <c:v>43252</c:v>
                </c:pt>
                <c:pt idx="4">
                  <c:v>43282</c:v>
                </c:pt>
                <c:pt idx="5">
                  <c:v>43313</c:v>
                </c:pt>
                <c:pt idx="6">
                  <c:v>43344</c:v>
                </c:pt>
                <c:pt idx="7">
                  <c:v>43374</c:v>
                </c:pt>
                <c:pt idx="8">
                  <c:v>43405</c:v>
                </c:pt>
                <c:pt idx="9">
                  <c:v>43435</c:v>
                </c:pt>
                <c:pt idx="10">
                  <c:v>43466</c:v>
                </c:pt>
                <c:pt idx="11">
                  <c:v>43497</c:v>
                </c:pt>
                <c:pt idx="12">
                  <c:v>43525</c:v>
                </c:pt>
                <c:pt idx="13">
                  <c:v>43556</c:v>
                </c:pt>
                <c:pt idx="14">
                  <c:v>43586</c:v>
                </c:pt>
                <c:pt idx="15">
                  <c:v>43617</c:v>
                </c:pt>
                <c:pt idx="16">
                  <c:v>43647</c:v>
                </c:pt>
                <c:pt idx="17">
                  <c:v>43678</c:v>
                </c:pt>
                <c:pt idx="18">
                  <c:v>43709</c:v>
                </c:pt>
                <c:pt idx="19">
                  <c:v>43739</c:v>
                </c:pt>
                <c:pt idx="20">
                  <c:v>43770</c:v>
                </c:pt>
                <c:pt idx="21">
                  <c:v>43800</c:v>
                </c:pt>
                <c:pt idx="22">
                  <c:v>43831</c:v>
                </c:pt>
                <c:pt idx="23">
                  <c:v>43862</c:v>
                </c:pt>
                <c:pt idx="24">
                  <c:v>43891</c:v>
                </c:pt>
                <c:pt idx="25">
                  <c:v>43922</c:v>
                </c:pt>
                <c:pt idx="26">
                  <c:v>43952</c:v>
                </c:pt>
                <c:pt idx="27">
                  <c:v>43983</c:v>
                </c:pt>
                <c:pt idx="28">
                  <c:v>44013</c:v>
                </c:pt>
                <c:pt idx="29">
                  <c:v>44044</c:v>
                </c:pt>
                <c:pt idx="30">
                  <c:v>44075</c:v>
                </c:pt>
                <c:pt idx="31">
                  <c:v>44105</c:v>
                </c:pt>
                <c:pt idx="32">
                  <c:v>44136</c:v>
                </c:pt>
                <c:pt idx="33">
                  <c:v>44166</c:v>
                </c:pt>
                <c:pt idx="34">
                  <c:v>44197</c:v>
                </c:pt>
                <c:pt idx="35">
                  <c:v>44228</c:v>
                </c:pt>
                <c:pt idx="36">
                  <c:v>44256</c:v>
                </c:pt>
              </c:numCache>
            </c:numRef>
          </c:cat>
          <c:val>
            <c:numRef>
              <c:f>'Turnover charts'!$N$4:$N$55</c:f>
              <c:numCache>
                <c:formatCode>General</c:formatCode>
                <c:ptCount val="37"/>
                <c:pt idx="7" formatCode="_(* #,##0_);_(* \(#,##0\);_(* &quot;-&quot;??_);_(@_)">
                  <c:v>0</c:v>
                </c:pt>
                <c:pt idx="8" formatCode="_(* #,##0_);_(* \(#,##0\);_(* &quot;-&quot;??_);_(@_)">
                  <c:v>0</c:v>
                </c:pt>
                <c:pt idx="9" formatCode="_(* #,##0_);_(* \(#,##0\);_(* &quot;-&quot;??_);_(@_)">
                  <c:v>0</c:v>
                </c:pt>
                <c:pt idx="10" formatCode="_(* #,##0_);_(* \(#,##0\);_(* &quot;-&quot;??_);_(@_)">
                  <c:v>0</c:v>
                </c:pt>
                <c:pt idx="11" formatCode="_(* #,##0_);_(* \(#,##0\);_(* &quot;-&quot;??_);_(@_)">
                  <c:v>0</c:v>
                </c:pt>
                <c:pt idx="12" formatCode="_(* #,##0_);_(* \(#,##0\);_(* &quot;-&quot;??_);_(@_)">
                  <c:v>0</c:v>
                </c:pt>
                <c:pt idx="13" formatCode="_(* #,##0_);_(* \(#,##0\);_(* &quot;-&quot;??_);_(@_)">
                  <c:v>0</c:v>
                </c:pt>
                <c:pt idx="14" formatCode="_(* #,##0_);_(* \(#,##0\);_(* &quot;-&quot;??_);_(@_)">
                  <c:v>0</c:v>
                </c:pt>
                <c:pt idx="15" formatCode="_(* #,##0_);_(* \(#,##0\);_(* &quot;-&quot;??_);_(@_)">
                  <c:v>0</c:v>
                </c:pt>
                <c:pt idx="16" formatCode="_(* #,##0_);_(* \(#,##0\);_(* &quot;-&quot;??_);_(@_)">
                  <c:v>0</c:v>
                </c:pt>
                <c:pt idx="17" formatCode="_(* #,##0_);_(* \(#,##0\);_(* &quot;-&quot;??_);_(@_)">
                  <c:v>0</c:v>
                </c:pt>
                <c:pt idx="18" formatCode="_(* #,##0_);_(* \(#,##0\);_(* &quot;-&quot;??_);_(@_)">
                  <c:v>0</c:v>
                </c:pt>
                <c:pt idx="19" formatCode="_(* #,##0_);_(* \(#,##0\);_(* &quot;-&quot;??_);_(@_)">
                  <c:v>0</c:v>
                </c:pt>
                <c:pt idx="20" formatCode="_(* #,##0_);_(* \(#,##0\);_(* &quot;-&quot;??_);_(@_)">
                  <c:v>0</c:v>
                </c:pt>
                <c:pt idx="21" formatCode="_(* #,##0_);_(* \(#,##0\);_(* &quot;-&quot;??_);_(@_)">
                  <c:v>0</c:v>
                </c:pt>
                <c:pt idx="22" formatCode="_(* #,##0_);_(* \(#,##0\);_(* &quot;-&quot;??_);_(@_)">
                  <c:v>0</c:v>
                </c:pt>
                <c:pt idx="23" formatCode="_(* #,##0_);_(* \(#,##0\);_(* &quot;-&quot;??_);_(@_)">
                  <c:v>0</c:v>
                </c:pt>
                <c:pt idx="24" formatCode="_(* #,##0_);_(* \(#,##0\);_(* &quot;-&quot;??_);_(@_)">
                  <c:v>0</c:v>
                </c:pt>
                <c:pt idx="25" formatCode="_(* #,##0_);_(* \(#,##0\);_(* &quot;-&quot;??_);_(@_)">
                  <c:v>0</c:v>
                </c:pt>
                <c:pt idx="26" formatCode="_(* #,##0_);_(* \(#,##0\);_(* &quot;-&quot;??_);_(@_)">
                  <c:v>0</c:v>
                </c:pt>
                <c:pt idx="27" formatCode="_ * #,##0_ ;_ * \-#,##0_ ;_ * &quot;-&quot;??_ ;_ @_ ">
                  <c:v>26816.769999999997</c:v>
                </c:pt>
                <c:pt idx="28" formatCode="_ * #,##0_ ;_ * \-#,##0_ ;_ * &quot;-&quot;??_ ;_ @_ ">
                  <c:v>72242.989999999991</c:v>
                </c:pt>
                <c:pt idx="29" formatCode="_ * #,##0_ ;_ * \-#,##0_ ;_ * &quot;-&quot;??_ ;_ @_ ">
                  <c:v>71670.850000000006</c:v>
                </c:pt>
                <c:pt idx="30" formatCode="_ * #,##0_ ;_ * \-#,##0_ ;_ * &quot;-&quot;??_ ;_ @_ ">
                  <c:v>58331.41</c:v>
                </c:pt>
                <c:pt idx="31" formatCode="_ * #,##0_ ;_ * \-#,##0_ ;_ * &quot;-&quot;??_ ;_ @_ ">
                  <c:v>56137.399999999994</c:v>
                </c:pt>
                <c:pt idx="32" formatCode="_ * #,##0_ ;_ * \-#,##0_ ;_ * &quot;-&quot;??_ ;_ @_ ">
                  <c:v>53954.21</c:v>
                </c:pt>
                <c:pt idx="33" formatCode="_ * #,##0_ ;_ * \-#,##0_ ;_ * &quot;-&quot;??_ ;_ @_ ">
                  <c:v>66801.039999999994</c:v>
                </c:pt>
                <c:pt idx="34" formatCode="_ * #,##0_ ;_ * \-#,##0_ ;_ * &quot;-&quot;??_ ;_ @_ ">
                  <c:v>62440.93</c:v>
                </c:pt>
                <c:pt idx="35" formatCode="_ * #,##0_ ;_ * \-#,##0_ ;_ * &quot;-&quot;??_ ;_ @_ ">
                  <c:v>65087.26</c:v>
                </c:pt>
                <c:pt idx="36" formatCode="_ * #,##0_ ;_ * \-#,##0_ ;_ * &quot;-&quot;??_ ;_ @_ ">
                  <c:v>71581.36</c:v>
                </c:pt>
              </c:numCache>
            </c:numRef>
          </c:val>
          <c:smooth val="0"/>
          <c:extLst>
            <c:ext xmlns:c16="http://schemas.microsoft.com/office/drawing/2014/chart" uri="{C3380CC4-5D6E-409C-BE32-E72D297353CC}">
              <c16:uniqueId val="{00000002-080A-47D5-BE18-273672632130}"/>
            </c:ext>
          </c:extLst>
        </c:ser>
        <c:dLbls>
          <c:showLegendKey val="0"/>
          <c:showVal val="0"/>
          <c:showCatName val="0"/>
          <c:showSerName val="0"/>
          <c:showPercent val="0"/>
          <c:showBubbleSize val="0"/>
        </c:dLbls>
        <c:marker val="1"/>
        <c:smooth val="0"/>
        <c:axId val="734034368"/>
        <c:axId val="734037504"/>
      </c:lineChart>
      <c:dateAx>
        <c:axId val="734034760"/>
        <c:scaling>
          <c:orientation val="minMax"/>
          <c:min val="43922"/>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2400000" spcFirstLastPara="1" vertOverflow="ellipsis"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34037112"/>
        <c:crosses val="autoZero"/>
        <c:auto val="1"/>
        <c:lblOffset val="100"/>
        <c:baseTimeUnit val="months"/>
      </c:dateAx>
      <c:valAx>
        <c:axId val="734037112"/>
        <c:scaling>
          <c:orientation val="minMax"/>
          <c:max val="5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baseline="0"/>
                  <a:t> </a:t>
                </a:r>
                <a:r>
                  <a:rPr lang="en-IN"/>
                  <a:t> crore</a:t>
                </a:r>
              </a:p>
            </c:rich>
          </c:tx>
          <c:layout/>
          <c:overlay val="0"/>
          <c:spPr>
            <a:noFill/>
            <a:ln>
              <a:noFill/>
            </a:ln>
            <a:effectLst/>
          </c:spPr>
          <c:txPr>
            <a:bodyPr rot="-5400000" spcFirstLastPara="1" vertOverflow="ellipsis" vert="horz"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34034760"/>
        <c:crosses val="autoZero"/>
        <c:crossBetween val="between"/>
        <c:majorUnit val="5000"/>
        <c:minorUnit val="5000"/>
      </c:valAx>
      <c:valAx>
        <c:axId val="734037504"/>
        <c:scaling>
          <c:orientation val="minMax"/>
          <c:max val="75000"/>
          <c:min val="0"/>
        </c:scaling>
        <c:delete val="0"/>
        <c:axPos val="r"/>
        <c:title>
          <c:tx>
            <c:rich>
              <a:bodyPr rot="5400000" spcFirstLastPara="1" vertOverflow="ellipsis"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r>
                  <a:rPr lang="en-US"/>
                  <a:t>₹</a:t>
                </a:r>
                <a:r>
                  <a:rPr lang="en-IN"/>
                  <a:t> crore</a:t>
                </a:r>
              </a:p>
            </c:rich>
          </c:tx>
          <c:layout>
            <c:manualLayout>
              <c:xMode val="edge"/>
              <c:yMode val="edge"/>
              <c:x val="0.96802305074641692"/>
              <c:y val="0.31903100347750651"/>
            </c:manualLayout>
          </c:layout>
          <c:overlay val="0"/>
          <c:spPr>
            <a:noFill/>
            <a:ln>
              <a:noFill/>
            </a:ln>
            <a:effectLst/>
          </c:spPr>
          <c:txPr>
            <a:bodyPr rot="5400000" spcFirstLastPara="1" vertOverflow="ellipsis" wrap="square" anchor="ctr" anchorCtr="1"/>
            <a:lstStyle/>
            <a:p>
              <a:pPr algn="ctr" rtl="0">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crossAx val="734034368"/>
        <c:crosses val="max"/>
        <c:crossBetween val="between"/>
        <c:majorUnit val="10000"/>
      </c:valAx>
      <c:dateAx>
        <c:axId val="734034368"/>
        <c:scaling>
          <c:orientation val="minMax"/>
        </c:scaling>
        <c:delete val="1"/>
        <c:axPos val="b"/>
        <c:numFmt formatCode="mmm\-yy" sourceLinked="1"/>
        <c:majorTickMark val="out"/>
        <c:minorTickMark val="none"/>
        <c:tickLblPos val="nextTo"/>
        <c:crossAx val="734037504"/>
        <c:crossesAt val="0"/>
        <c:auto val="1"/>
        <c:lblOffset val="100"/>
        <c:baseTimeUnit val="months"/>
      </c:dateAx>
      <c:spPr>
        <a:noFill/>
        <a:ln>
          <a:noFill/>
        </a:ln>
        <a:effectLst/>
      </c:spPr>
    </c:plotArea>
    <c:legend>
      <c:legendPos val="b"/>
      <c:layout>
        <c:manualLayout>
          <c:xMode val="edge"/>
          <c:yMode val="edge"/>
          <c:x val="0.10228638086905803"/>
          <c:y val="0.88298072419128193"/>
          <c:w val="0.82778999518551322"/>
          <c:h val="0.1170192758087181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ysClr val="window" lastClr="FFFFFF">
          <a:lumMod val="65000"/>
        </a:sysClr>
      </a:solidFill>
      <a:round/>
    </a:ln>
    <a:effectLst/>
  </c:spPr>
  <c:txPr>
    <a:bodyPr/>
    <a:lstStyle/>
    <a:p>
      <a:pPr>
        <a:defRPr sz="900">
          <a:solidFill>
            <a:sysClr val="windowText" lastClr="000000"/>
          </a:solidFill>
          <a:latin typeface="Palatino Linotype" panose="02040502050505030304" pitchFamily="18" charset="0"/>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2"/>
          <c:order val="0"/>
          <c:tx>
            <c:strRef>
              <c:f>'F2&amp;F3'!$D$3</c:f>
              <c:strCache>
                <c:ptCount val="1"/>
                <c:pt idx="0">
                  <c:v>ADT at NSE (LHS)</c:v>
                </c:pt>
              </c:strCache>
            </c:strRef>
          </c:tx>
          <c:spPr>
            <a:solidFill>
              <a:srgbClr val="00B050"/>
            </a:solidFill>
            <a:ln>
              <a:noFill/>
            </a:ln>
            <a:effectLst/>
          </c:spPr>
          <c:invertIfNegative val="0"/>
          <c:cat>
            <c:numRef>
              <c:f>'F2&amp;F3'!$A$4:$A$15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'F2&amp;F3'!$D$4:$D$15</c:f>
              <c:numCache>
                <c:formatCode>#,##0</c:formatCode>
                <c:ptCount val="12"/>
                <c:pt idx="0">
                  <c:v>50322.35</c:v>
                </c:pt>
                <c:pt idx="1">
                  <c:v>52655.6</c:v>
                </c:pt>
                <c:pt idx="2">
                  <c:v>61394.58</c:v>
                </c:pt>
                <c:pt idx="3" formatCode="[&gt;=10000000]#\,##\,##\,##0;[&gt;=100000]#\,##\,##0;##,##0">
                  <c:v>58631.347159999998</c:v>
                </c:pt>
                <c:pt idx="4" formatCode="[&gt;=10000000]#\,##\,##\,##0;[&gt;=100000]#\,##\,##0;##,##0">
                  <c:v>61074.12</c:v>
                </c:pt>
                <c:pt idx="5" formatCode="[&gt;=10000000]#\,##\,##\,##0;[&gt;=100000]#\,##\,##0;##,##0">
                  <c:v>55605.851524328958</c:v>
                </c:pt>
                <c:pt idx="6" formatCode="[&gt;=10000000]#\,##\,##\,##0;[&gt;=100000]#\,##\,##0;##,##0">
                  <c:v>52327.798311617102</c:v>
                </c:pt>
                <c:pt idx="7" formatCode="[&gt;=10000000]#\,##\,##\,##0;[&gt;=100000]#\,##\,##0;##,##0">
                  <c:v>66863.595756470837</c:v>
                </c:pt>
                <c:pt idx="8" formatCode="[&gt;=10000000]#\,##\,##\,##0;[&gt;=100000]#\,##\,##0;##,##0">
                  <c:v>62479.615040464567</c:v>
                </c:pt>
                <c:pt idx="9" formatCode="[&gt;=10000000]#\,##\,##\,##0;[&gt;=100000]#\,##\,##0;##,##0">
                  <c:v>72472.244728850172</c:v>
                </c:pt>
                <c:pt idx="10" formatCode="#,##0;\-#,##0;0">
                  <c:v>81373.180989999993</c:v>
                </c:pt>
                <c:pt idx="11" formatCode="#,##0;\-#,##0;0">
                  <c:v>66616.515109999993</c:v>
                </c:pt>
              </c:numCache>
            </c:numRef>
          </c:val>
          <c:extLst>
            <c:ext xmlns:c16="http://schemas.microsoft.com/office/drawing/2014/chart" uri="{C3380CC4-5D6E-409C-BE32-E72D297353CC}">
              <c16:uniqueId val="{00000000-19F1-4E1A-907C-6D40E1E654BF}"/>
            </c:ext>
          </c:extLst>
        </c:ser>
        <c:dLbls>
          <c:showLegendKey val="0"/>
          <c:showVal val="0"/>
          <c:showCatName val="0"/>
          <c:showSerName val="0"/>
          <c:showPercent val="0"/>
          <c:showBubbleSize val="0"/>
        </c:dLbls>
        <c:gapWidth val="219"/>
        <c:overlap val="-27"/>
        <c:axId val="44891935"/>
        <c:axId val="44890271"/>
      </c:barChart>
      <c:lineChart>
        <c:grouping val="standard"/>
        <c:varyColors val="0"/>
        <c:ser>
          <c:idx val="3"/>
          <c:order val="1"/>
          <c:tx>
            <c:strRef>
              <c:f>'F2&amp;F3'!$E$3</c:f>
              <c:strCache>
                <c:ptCount val="1"/>
                <c:pt idx="0">
                  <c:v>ADV of Nifty 50 (RHS)</c:v>
                </c:pt>
              </c:strCache>
            </c:strRef>
          </c:tx>
          <c:spPr>
            <a:ln w="28575" cap="rnd">
              <a:solidFill>
                <a:srgbClr val="FF0000"/>
              </a:solidFill>
              <a:round/>
            </a:ln>
            <a:effectLst/>
          </c:spPr>
          <c:marker>
            <c:symbol val="none"/>
          </c:marker>
          <c:cat>
            <c:numRef>
              <c:f>'F2&amp;F3'!$A$4:$A$15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'F2&amp;F3'!$E$4:$E$15</c:f>
              <c:numCache>
                <c:formatCode>#,##0</c:formatCode>
                <c:ptCount val="12"/>
                <c:pt idx="0">
                  <c:v>9063.58</c:v>
                </c:pt>
                <c:pt idx="1">
                  <c:v>9192.01</c:v>
                </c:pt>
                <c:pt idx="2">
                  <c:v>10116.450000000001</c:v>
                </c:pt>
                <c:pt idx="3">
                  <c:v>10897.695652173914</c:v>
                </c:pt>
                <c:pt idx="4" formatCode="[&gt;=10000000]#\,##\,##\,##0;[&gt;=100000]#\,##\,##0;##,##0">
                  <c:v>11318.57</c:v>
                </c:pt>
                <c:pt idx="5" formatCode="[&gt;=10000000]#\,##\,##\,##0;[&gt;=100000]#\,##\,##0;##,##0">
                  <c:v>11336.702272727271</c:v>
                </c:pt>
                <c:pt idx="6" formatCode="[&gt;=10000000]#\,##\,##\,##0;[&gt;=100000]#\,##\,##0;##,##0">
                  <c:v>11789.709523809524</c:v>
                </c:pt>
                <c:pt idx="7" formatCode="[&gt;=10000000]#\,##\,##\,##0;[&gt;=100000]#\,##\,##0;##,##0">
                  <c:v>12602.3225</c:v>
                </c:pt>
                <c:pt idx="8" formatCode="[&gt;=10000000]#\,##\,##\,##0;[&gt;=100000]#\,##\,##0;##,##0">
                  <c:v>13550.44090909091</c:v>
                </c:pt>
                <c:pt idx="9" formatCode="[&gt;=10000000]#\,##\,##\,##0;[&gt;=100000]#\,##\,##0;##,##0">
                  <c:v>14284.602499999999</c:v>
                </c:pt>
                <c:pt idx="10" formatCode="[&gt;=10000000]#\,##\,##\,##0;[&gt;=100000]#\,##\,##0;##,##0">
                  <c:v>14956.842499999999</c:v>
                </c:pt>
                <c:pt idx="11" formatCode="[&gt;=10000000]#\,##\,##\,##0;[&gt;=100000]#\,##\,##0;##,##0">
                  <c:v>14835.099999999999</c:v>
                </c:pt>
              </c:numCache>
            </c:numRef>
          </c:val>
          <c:smooth val="0"/>
          <c:extLst>
            <c:ext xmlns:c16="http://schemas.microsoft.com/office/drawing/2014/chart" uri="{C3380CC4-5D6E-409C-BE32-E72D297353CC}">
              <c16:uniqueId val="{00000001-19F1-4E1A-907C-6D40E1E654BF}"/>
            </c:ext>
          </c:extLst>
        </c:ser>
        <c:dLbls>
          <c:showLegendKey val="0"/>
          <c:showVal val="0"/>
          <c:showCatName val="0"/>
          <c:showSerName val="0"/>
          <c:showPercent val="0"/>
          <c:showBubbleSize val="0"/>
        </c:dLbls>
        <c:marker val="1"/>
        <c:smooth val="0"/>
        <c:axId val="1671505615"/>
        <c:axId val="1671508527"/>
      </c:lineChart>
      <c:dateAx>
        <c:axId val="44891935"/>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44890271"/>
        <c:crosses val="autoZero"/>
        <c:auto val="1"/>
        <c:lblOffset val="100"/>
        <c:baseTimeUnit val="months"/>
      </c:dateAx>
      <c:valAx>
        <c:axId val="44890271"/>
        <c:scaling>
          <c:orientation val="minMax"/>
          <c:min val="3500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44891935"/>
        <c:crosses val="autoZero"/>
        <c:crossBetween val="between"/>
        <c:majorUnit val="5000.01"/>
      </c:valAx>
      <c:valAx>
        <c:axId val="1671508527"/>
        <c:scaling>
          <c:orientation val="minMax"/>
          <c:min val="8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671505615"/>
        <c:crosses val="max"/>
        <c:crossBetween val="between"/>
      </c:valAx>
      <c:dateAx>
        <c:axId val="1671505615"/>
        <c:scaling>
          <c:orientation val="minMax"/>
        </c:scaling>
        <c:delete val="1"/>
        <c:axPos val="b"/>
        <c:numFmt formatCode="[$-409]mmm\-yy" sourceLinked="1"/>
        <c:majorTickMark val="out"/>
        <c:minorTickMark val="none"/>
        <c:tickLblPos val="nextTo"/>
        <c:crossAx val="1671508527"/>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'F2&amp;F3'!$B$3</c:f>
              <c:strCache>
                <c:ptCount val="1"/>
                <c:pt idx="0">
                  <c:v>ADT at BSE (LHS)</c:v>
                </c:pt>
              </c:strCache>
            </c:strRef>
          </c:tx>
          <c:spPr>
            <a:solidFill>
              <a:srgbClr val="00B050"/>
            </a:solidFill>
            <a:ln>
              <a:noFill/>
            </a:ln>
            <a:effectLst/>
          </c:spPr>
          <c:invertIfNegative val="0"/>
          <c:cat>
            <c:numRef>
              <c:f>'F2&amp;F3'!$A$4:$A$15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'F2&amp;F3'!$B$4:$B$15</c:f>
              <c:numCache>
                <c:formatCode>[&gt;=10000000]#\,##\,##\,##0;[&gt;=100000]#\,##\,##0;##,##0</c:formatCode>
                <c:ptCount val="12"/>
                <c:pt idx="0">
                  <c:v>2470.91</c:v>
                </c:pt>
                <c:pt idx="1">
                  <c:v>3422.05</c:v>
                </c:pt>
                <c:pt idx="2">
                  <c:v>5008.76</c:v>
                </c:pt>
                <c:pt idx="3">
                  <c:v>3482.2930434782606</c:v>
                </c:pt>
                <c:pt idx="4">
                  <c:v>4432.38</c:v>
                </c:pt>
                <c:pt idx="5">
                  <c:v>3182.9668181818183</c:v>
                </c:pt>
                <c:pt idx="6">
                  <c:v>2755.5385714285712</c:v>
                </c:pt>
                <c:pt idx="7">
                  <c:v>3533.7944999999991</c:v>
                </c:pt>
                <c:pt idx="8">
                  <c:v>4518.8545454545456</c:v>
                </c:pt>
                <c:pt idx="9">
                  <c:v>5203.16</c:v>
                </c:pt>
                <c:pt idx="10" formatCode="#,##0;\-#,##0;0">
                  <c:v>7247.7254999999996</c:v>
                </c:pt>
                <c:pt idx="11" formatCode="#,##0;\-#,##0;0">
                  <c:v>5010.8952380950004</c:v>
                </c:pt>
              </c:numCache>
            </c:numRef>
          </c:val>
          <c:extLst>
            <c:ext xmlns:c16="http://schemas.microsoft.com/office/drawing/2014/chart" uri="{C3380CC4-5D6E-409C-BE32-E72D297353CC}">
              <c16:uniqueId val="{00000000-C2F5-47F1-BDE4-1FAD7D499A79}"/>
            </c:ext>
          </c:extLst>
        </c:ser>
        <c:dLbls>
          <c:showLegendKey val="0"/>
          <c:showVal val="0"/>
          <c:showCatName val="0"/>
          <c:showSerName val="0"/>
          <c:showPercent val="0"/>
          <c:showBubbleSize val="0"/>
        </c:dLbls>
        <c:gapWidth val="219"/>
        <c:overlap val="-27"/>
        <c:axId val="39372047"/>
        <c:axId val="39374959"/>
      </c:barChart>
      <c:lineChart>
        <c:grouping val="standard"/>
        <c:varyColors val="0"/>
        <c:ser>
          <c:idx val="1"/>
          <c:order val="1"/>
          <c:tx>
            <c:strRef>
              <c:f>'F2&amp;F3'!$C$3</c:f>
              <c:strCache>
                <c:ptCount val="1"/>
                <c:pt idx="0">
                  <c:v>ADV of Sensex (RHS)</c:v>
                </c:pt>
              </c:strCache>
            </c:strRef>
          </c:tx>
          <c:spPr>
            <a:ln w="28575" cap="rnd">
              <a:solidFill>
                <a:srgbClr val="FF0000"/>
              </a:solidFill>
              <a:round/>
            </a:ln>
            <a:effectLst/>
          </c:spPr>
          <c:marker>
            <c:symbol val="none"/>
          </c:marker>
          <c:cat>
            <c:numRef>
              <c:f>'F2&amp;F3'!$A$4:$A$15</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'F2&amp;F3'!$C$4:$C$15</c:f>
              <c:numCache>
                <c:formatCode>[&gt;=10000000]#\,##\,##\,##0;[&gt;=100000]#\,##\,##0;##,##0</c:formatCode>
                <c:ptCount val="12"/>
                <c:pt idx="0">
                  <c:v>30966</c:v>
                </c:pt>
                <c:pt idx="1">
                  <c:v>31294</c:v>
                </c:pt>
                <c:pt idx="2">
                  <c:v>34263</c:v>
                </c:pt>
                <c:pt idx="3" formatCode="0">
                  <c:v>37030.641739130428</c:v>
                </c:pt>
                <c:pt idx="4">
                  <c:v>38347</c:v>
                </c:pt>
                <c:pt idx="5">
                  <c:v>38378.977272727272</c:v>
                </c:pt>
                <c:pt idx="6">
                  <c:v>40115.386666666658</c:v>
                </c:pt>
                <c:pt idx="7">
                  <c:v>43011.3845</c:v>
                </c:pt>
                <c:pt idx="8">
                  <c:v>46211.837272727265</c:v>
                </c:pt>
                <c:pt idx="9">
                  <c:v>48580.33</c:v>
                </c:pt>
                <c:pt idx="10" formatCode="#,##0;\-#,##0;0">
                  <c:v>50782.818000000007</c:v>
                </c:pt>
                <c:pt idx="11" formatCode="#,##0;\-#,##0;0">
                  <c:v>50782.818000000007</c:v>
                </c:pt>
              </c:numCache>
            </c:numRef>
          </c:val>
          <c:smooth val="0"/>
          <c:extLst>
            <c:ext xmlns:c16="http://schemas.microsoft.com/office/drawing/2014/chart" uri="{C3380CC4-5D6E-409C-BE32-E72D297353CC}">
              <c16:uniqueId val="{00000001-C2F5-47F1-BDE4-1FAD7D499A79}"/>
            </c:ext>
          </c:extLst>
        </c:ser>
        <c:dLbls>
          <c:showLegendKey val="0"/>
          <c:showVal val="0"/>
          <c:showCatName val="0"/>
          <c:showSerName val="0"/>
          <c:showPercent val="0"/>
          <c:showBubbleSize val="0"/>
        </c:dLbls>
        <c:marker val="1"/>
        <c:smooth val="0"/>
        <c:axId val="38448239"/>
        <c:axId val="38443247"/>
      </c:lineChart>
      <c:dateAx>
        <c:axId val="39372047"/>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9374959"/>
        <c:crosses val="autoZero"/>
        <c:auto val="1"/>
        <c:lblOffset val="100"/>
        <c:baseTimeUnit val="months"/>
      </c:dateAx>
      <c:valAx>
        <c:axId val="39374959"/>
        <c:scaling>
          <c:orientation val="minMax"/>
          <c:min val="2000"/>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9372047"/>
        <c:crosses val="autoZero"/>
        <c:crossBetween val="between"/>
      </c:valAx>
      <c:valAx>
        <c:axId val="38443247"/>
        <c:scaling>
          <c:orientation val="minMax"/>
          <c:min val="30000"/>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8448239"/>
        <c:crosses val="max"/>
        <c:crossBetween val="between"/>
        <c:majorUnit val="5000"/>
      </c:valAx>
      <c:dateAx>
        <c:axId val="38448239"/>
        <c:scaling>
          <c:orientation val="minMax"/>
        </c:scaling>
        <c:delete val="1"/>
        <c:axPos val="b"/>
        <c:numFmt formatCode="[$-409]mmm\-yy" sourceLinked="1"/>
        <c:majorTickMark val="out"/>
        <c:minorTickMark val="none"/>
        <c:tickLblPos val="nextTo"/>
        <c:crossAx val="38443247"/>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1">
          <a:latin typeface="Palatino Linotype" panose="02040502050505030304" pitchFamily="18"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'F4&amp;5 '!$E$4</c:f>
              <c:strCache>
                <c:ptCount val="1"/>
                <c:pt idx="0">
                  <c:v>Return (LHS)</c:v>
                </c:pt>
              </c:strCache>
            </c:strRef>
          </c:tx>
          <c:spPr>
            <a:solidFill>
              <a:srgbClr val="00B050"/>
            </a:solidFill>
            <a:ln>
              <a:noFill/>
            </a:ln>
            <a:effectLst/>
          </c:spPr>
          <c:invertIfNegative val="0"/>
          <c:cat>
            <c:strRef>
              <c:f>'F4&amp;5 '!$D$5:$D$14</c:f>
              <c:strCache>
                <c:ptCount val="10"/>
                <c:pt idx="0">
                  <c:v>BSETECK</c:v>
                </c:pt>
                <c:pt idx="1">
                  <c:v>BSEMET</c:v>
                </c:pt>
                <c:pt idx="2">
                  <c:v>BSECD</c:v>
                </c:pt>
                <c:pt idx="3">
                  <c:v>BSEPOWER</c:v>
                </c:pt>
                <c:pt idx="4">
                  <c:v>BSECG</c:v>
                </c:pt>
                <c:pt idx="5">
                  <c:v>BSEAUTO</c:v>
                </c:pt>
                <c:pt idx="6">
                  <c:v>BSEBANK</c:v>
                </c:pt>
                <c:pt idx="7">
                  <c:v>BSEREAL</c:v>
                </c:pt>
                <c:pt idx="8">
                  <c:v>BSEPSU</c:v>
                </c:pt>
                <c:pt idx="9">
                  <c:v>BSEOIL</c:v>
                </c:pt>
              </c:strCache>
            </c:strRef>
          </c:cat>
          <c:val>
            <c:numRef>
              <c:f>'F4&amp;5 '!$E$5:$E$14</c:f>
              <c:numCache>
                <c:formatCode>0.0</c:formatCode>
                <c:ptCount val="10"/>
                <c:pt idx="0">
                  <c:v>6.1168077116877217</c:v>
                </c:pt>
                <c:pt idx="1">
                  <c:v>4.6026870449794366</c:v>
                </c:pt>
                <c:pt idx="2">
                  <c:v>3.3619967876023171</c:v>
                </c:pt>
                <c:pt idx="3">
                  <c:v>2.3301099319075425</c:v>
                </c:pt>
                <c:pt idx="4">
                  <c:v>-1.9666842635517656</c:v>
                </c:pt>
                <c:pt idx="5">
                  <c:v>-2.9883170297231754</c:v>
                </c:pt>
                <c:pt idx="6">
                  <c:v>-3.6767761657169773</c:v>
                </c:pt>
                <c:pt idx="7">
                  <c:v>-4.1852204022318258</c:v>
                </c:pt>
                <c:pt idx="8">
                  <c:v>-4.4183423659262422</c:v>
                </c:pt>
                <c:pt idx="9">
                  <c:v>-4.6512286227870074</c:v>
                </c:pt>
              </c:numCache>
            </c:numRef>
          </c:val>
          <c:extLst>
            <c:ext xmlns:c16="http://schemas.microsoft.com/office/drawing/2014/chart" uri="{C3380CC4-5D6E-409C-BE32-E72D297353CC}">
              <c16:uniqueId val="{00000000-46C3-425E-9D0C-07D32C6DCC7F}"/>
            </c:ext>
          </c:extLst>
        </c:ser>
        <c:dLbls>
          <c:showLegendKey val="0"/>
          <c:showVal val="0"/>
          <c:showCatName val="0"/>
          <c:showSerName val="0"/>
          <c:showPercent val="0"/>
          <c:showBubbleSize val="0"/>
        </c:dLbls>
        <c:gapWidth val="219"/>
        <c:overlap val="-27"/>
        <c:axId val="389602944"/>
        <c:axId val="389590464"/>
      </c:barChart>
      <c:lineChart>
        <c:grouping val="standard"/>
        <c:varyColors val="0"/>
        <c:ser>
          <c:idx val="1"/>
          <c:order val="1"/>
          <c:tx>
            <c:strRef>
              <c:f>'F4&amp;5 '!$F$4</c:f>
              <c:strCache>
                <c:ptCount val="1"/>
                <c:pt idx="0">
                  <c:v>Volatility (RHS)</c:v>
                </c:pt>
              </c:strCache>
            </c:strRef>
          </c:tx>
          <c:spPr>
            <a:ln w="28575" cap="rnd">
              <a:solidFill>
                <a:srgbClr val="FF0000"/>
              </a:solidFill>
              <a:round/>
            </a:ln>
            <a:effectLst/>
          </c:spPr>
          <c:marker>
            <c:symbol val="none"/>
          </c:marker>
          <c:cat>
            <c:strRef>
              <c:f>'F4&amp;5 '!$D$5:$D$14</c:f>
              <c:strCache>
                <c:ptCount val="10"/>
                <c:pt idx="0">
                  <c:v>BSETECK</c:v>
                </c:pt>
                <c:pt idx="1">
                  <c:v>BSEMET</c:v>
                </c:pt>
                <c:pt idx="2">
                  <c:v>BSECD</c:v>
                </c:pt>
                <c:pt idx="3">
                  <c:v>BSEPOWER</c:v>
                </c:pt>
                <c:pt idx="4">
                  <c:v>BSECG</c:v>
                </c:pt>
                <c:pt idx="5">
                  <c:v>BSEAUTO</c:v>
                </c:pt>
                <c:pt idx="6">
                  <c:v>BSEBANK</c:v>
                </c:pt>
                <c:pt idx="7">
                  <c:v>BSEREAL</c:v>
                </c:pt>
                <c:pt idx="8">
                  <c:v>BSEPSU</c:v>
                </c:pt>
                <c:pt idx="9">
                  <c:v>BSEOIL</c:v>
                </c:pt>
              </c:strCache>
            </c:strRef>
          </c:cat>
          <c:val>
            <c:numRef>
              <c:f>'F4&amp;5 '!$F$5:$F$14</c:f>
              <c:numCache>
                <c:formatCode>0.0</c:formatCode>
                <c:ptCount val="10"/>
                <c:pt idx="0">
                  <c:v>1.3247730035128999</c:v>
                </c:pt>
                <c:pt idx="1">
                  <c:v>1.8773438404225753</c:v>
                </c:pt>
                <c:pt idx="2">
                  <c:v>1.1955462817575437</c:v>
                </c:pt>
                <c:pt idx="3">
                  <c:v>1.5489738949762997</c:v>
                </c:pt>
                <c:pt idx="4">
                  <c:v>1.2264083688018597</c:v>
                </c:pt>
                <c:pt idx="5">
                  <c:v>1.4442852415703886</c:v>
                </c:pt>
                <c:pt idx="6">
                  <c:v>1.4074423150543076</c:v>
                </c:pt>
                <c:pt idx="7">
                  <c:v>1.5757653267598513</c:v>
                </c:pt>
                <c:pt idx="8">
                  <c:v>1.507400651279539</c:v>
                </c:pt>
                <c:pt idx="9">
                  <c:v>1.4155598473557054</c:v>
                </c:pt>
              </c:numCache>
            </c:numRef>
          </c:val>
          <c:smooth val="0"/>
          <c:extLst>
            <c:ext xmlns:c16="http://schemas.microsoft.com/office/drawing/2014/chart" uri="{C3380CC4-5D6E-409C-BE32-E72D297353CC}">
              <c16:uniqueId val="{00000001-46C3-425E-9D0C-07D32C6DCC7F}"/>
            </c:ext>
          </c:extLst>
        </c:ser>
        <c:dLbls>
          <c:showLegendKey val="0"/>
          <c:showVal val="0"/>
          <c:showCatName val="0"/>
          <c:showSerName val="0"/>
          <c:showPercent val="0"/>
          <c:showBubbleSize val="0"/>
        </c:dLbls>
        <c:marker val="1"/>
        <c:smooth val="0"/>
        <c:axId val="378603104"/>
        <c:axId val="378630976"/>
      </c:lineChart>
      <c:catAx>
        <c:axId val="3896029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89590464"/>
        <c:crosses val="autoZero"/>
        <c:auto val="1"/>
        <c:lblAlgn val="ctr"/>
        <c:lblOffset val="100"/>
        <c:noMultiLvlLbl val="0"/>
      </c:catAx>
      <c:valAx>
        <c:axId val="389590464"/>
        <c:scaling>
          <c:orientation val="minMax"/>
          <c:min val="-5"/>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89602944"/>
        <c:crosses val="autoZero"/>
        <c:crossBetween val="between"/>
      </c:valAx>
      <c:valAx>
        <c:axId val="378630976"/>
        <c:scaling>
          <c:orientation val="minMax"/>
          <c:min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78603104"/>
        <c:crosses val="max"/>
        <c:crossBetween val="between"/>
        <c:majorUnit val="0.5"/>
      </c:valAx>
      <c:catAx>
        <c:axId val="378603104"/>
        <c:scaling>
          <c:orientation val="minMax"/>
        </c:scaling>
        <c:delete val="1"/>
        <c:axPos val="b"/>
        <c:numFmt formatCode="General" sourceLinked="1"/>
        <c:majorTickMark val="out"/>
        <c:minorTickMark val="none"/>
        <c:tickLblPos val="nextTo"/>
        <c:crossAx val="378630976"/>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'F4&amp;5 '!$B$4</c:f>
              <c:strCache>
                <c:ptCount val="1"/>
                <c:pt idx="0">
                  <c:v>Return (LHS)</c:v>
                </c:pt>
              </c:strCache>
            </c:strRef>
          </c:tx>
          <c:spPr>
            <a:solidFill>
              <a:srgbClr val="00B050"/>
            </a:solidFill>
            <a:ln>
              <a:noFill/>
            </a:ln>
            <a:effectLst/>
          </c:spPr>
          <c:invertIfNegative val="0"/>
          <c:cat>
            <c:strRef>
              <c:f>'F4&amp;5 '!$A$5:$A$14</c:f>
              <c:strCache>
                <c:ptCount val="10"/>
                <c:pt idx="0">
                  <c:v>NIFTYPSU</c:v>
                </c:pt>
                <c:pt idx="1">
                  <c:v>NIFTYPSE</c:v>
                </c:pt>
                <c:pt idx="2">
                  <c:v>NIFTYENR</c:v>
                </c:pt>
                <c:pt idx="3">
                  <c:v>NIFTYREAL</c:v>
                </c:pt>
                <c:pt idx="4">
                  <c:v>NSEBANK</c:v>
                </c:pt>
                <c:pt idx="5">
                  <c:v>NIFTYINFR</c:v>
                </c:pt>
                <c:pt idx="6">
                  <c:v>NIFTYSER</c:v>
                </c:pt>
                <c:pt idx="7">
                  <c:v>NIFTYIT</c:v>
                </c:pt>
                <c:pt idx="8">
                  <c:v>NIPHARM</c:v>
                </c:pt>
                <c:pt idx="9">
                  <c:v>NIFTYFMCG</c:v>
                </c:pt>
              </c:strCache>
            </c:strRef>
          </c:cat>
          <c:val>
            <c:numRef>
              <c:f>'F4&amp;5 '!$B$5:$B$14</c:f>
              <c:numCache>
                <c:formatCode>0.0</c:formatCode>
                <c:ptCount val="10"/>
                <c:pt idx="0">
                  <c:v>31.878944902290463</c:v>
                </c:pt>
                <c:pt idx="1">
                  <c:v>17.704219401531994</c:v>
                </c:pt>
                <c:pt idx="2">
                  <c:v>16.301240160403974</c:v>
                </c:pt>
                <c:pt idx="3">
                  <c:v>14.444626206445289</c:v>
                </c:pt>
                <c:pt idx="4">
                  <c:v>13.86563282131814</c:v>
                </c:pt>
                <c:pt idx="5">
                  <c:v>11.942208968231283</c:v>
                </c:pt>
                <c:pt idx="6">
                  <c:v>6.9364568173475361</c:v>
                </c:pt>
                <c:pt idx="7">
                  <c:v>-1.3969954251747185</c:v>
                </c:pt>
                <c:pt idx="8">
                  <c:v>-1.9913313202276073</c:v>
                </c:pt>
                <c:pt idx="9">
                  <c:v>-2.0467346294879007</c:v>
                </c:pt>
              </c:numCache>
            </c:numRef>
          </c:val>
          <c:extLst>
            <c:ext xmlns:c16="http://schemas.microsoft.com/office/drawing/2014/chart" uri="{C3380CC4-5D6E-409C-BE32-E72D297353CC}">
              <c16:uniqueId val="{00000000-912D-4C4D-9FED-13C848867F51}"/>
            </c:ext>
          </c:extLst>
        </c:ser>
        <c:dLbls>
          <c:showLegendKey val="0"/>
          <c:showVal val="0"/>
          <c:showCatName val="0"/>
          <c:showSerName val="0"/>
          <c:showPercent val="0"/>
          <c:showBubbleSize val="0"/>
        </c:dLbls>
        <c:gapWidth val="219"/>
        <c:overlap val="-27"/>
        <c:axId val="378608096"/>
        <c:axId val="378611424"/>
      </c:barChart>
      <c:lineChart>
        <c:grouping val="standard"/>
        <c:varyColors val="0"/>
        <c:ser>
          <c:idx val="1"/>
          <c:order val="1"/>
          <c:tx>
            <c:strRef>
              <c:f>'F4&amp;5 '!$C$4</c:f>
              <c:strCache>
                <c:ptCount val="1"/>
                <c:pt idx="0">
                  <c:v>Volatility (RHS)</c:v>
                </c:pt>
              </c:strCache>
            </c:strRef>
          </c:tx>
          <c:spPr>
            <a:ln w="28575" cap="rnd">
              <a:solidFill>
                <a:srgbClr val="FF0000"/>
              </a:solidFill>
              <a:round/>
            </a:ln>
            <a:effectLst/>
          </c:spPr>
          <c:marker>
            <c:symbol val="none"/>
          </c:marker>
          <c:cat>
            <c:strRef>
              <c:f>'F4&amp;5 '!$A$5:$A$14</c:f>
              <c:strCache>
                <c:ptCount val="10"/>
                <c:pt idx="0">
                  <c:v>NIFTYPSU</c:v>
                </c:pt>
                <c:pt idx="1">
                  <c:v>NIFTYPSE</c:v>
                </c:pt>
                <c:pt idx="2">
                  <c:v>NIFTYENR</c:v>
                </c:pt>
                <c:pt idx="3">
                  <c:v>NIFTYREAL</c:v>
                </c:pt>
                <c:pt idx="4">
                  <c:v>NSEBANK</c:v>
                </c:pt>
                <c:pt idx="5">
                  <c:v>NIFTYINFR</c:v>
                </c:pt>
                <c:pt idx="6">
                  <c:v>NIFTYSER</c:v>
                </c:pt>
                <c:pt idx="7">
                  <c:v>NIFTYIT</c:v>
                </c:pt>
                <c:pt idx="8">
                  <c:v>NIPHARM</c:v>
                </c:pt>
                <c:pt idx="9">
                  <c:v>NIFTYFMCG</c:v>
                </c:pt>
              </c:strCache>
            </c:strRef>
          </c:cat>
          <c:val>
            <c:numRef>
              <c:f>'F4&amp;5 '!$C$5:$C$14</c:f>
              <c:numCache>
                <c:formatCode>0.0</c:formatCode>
                <c:ptCount val="10"/>
                <c:pt idx="0">
                  <c:v>3.3340494419629212</c:v>
                </c:pt>
                <c:pt idx="1">
                  <c:v>1.9869687667589322</c:v>
                </c:pt>
                <c:pt idx="2">
                  <c:v>1.5905885132643665</c:v>
                </c:pt>
                <c:pt idx="3">
                  <c:v>2.0221917696378577</c:v>
                </c:pt>
                <c:pt idx="4">
                  <c:v>2.6340318914930139</c:v>
                </c:pt>
                <c:pt idx="5">
                  <c:v>1.8108875020288173</c:v>
                </c:pt>
                <c:pt idx="6">
                  <c:v>1.9481653071948428</c:v>
                </c:pt>
                <c:pt idx="7">
                  <c:v>1.3302973162410141</c:v>
                </c:pt>
                <c:pt idx="8">
                  <c:v>1.3441453308937323</c:v>
                </c:pt>
                <c:pt idx="9">
                  <c:v>0.99047168473033365</c:v>
                </c:pt>
              </c:numCache>
            </c:numRef>
          </c:val>
          <c:smooth val="0"/>
          <c:extLst>
            <c:ext xmlns:c16="http://schemas.microsoft.com/office/drawing/2014/chart" uri="{C3380CC4-5D6E-409C-BE32-E72D297353CC}">
              <c16:uniqueId val="{00000001-912D-4C4D-9FED-13C848867F51}"/>
            </c:ext>
          </c:extLst>
        </c:ser>
        <c:dLbls>
          <c:showLegendKey val="0"/>
          <c:showVal val="0"/>
          <c:showCatName val="0"/>
          <c:showSerName val="0"/>
          <c:showPercent val="0"/>
          <c:showBubbleSize val="0"/>
        </c:dLbls>
        <c:marker val="1"/>
        <c:smooth val="0"/>
        <c:axId val="389597952"/>
        <c:axId val="389598784"/>
      </c:lineChart>
      <c:catAx>
        <c:axId val="3786080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78611424"/>
        <c:crosses val="autoZero"/>
        <c:auto val="1"/>
        <c:lblAlgn val="ctr"/>
        <c:lblOffset val="100"/>
        <c:noMultiLvlLbl val="0"/>
      </c:catAx>
      <c:valAx>
        <c:axId val="378611424"/>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78608096"/>
        <c:crosses val="autoZero"/>
        <c:crossBetween val="between"/>
      </c:valAx>
      <c:valAx>
        <c:axId val="389598784"/>
        <c:scaling>
          <c:orientation val="minMax"/>
          <c:min val="1"/>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389597952"/>
        <c:crosses val="max"/>
        <c:crossBetween val="between"/>
      </c:valAx>
      <c:catAx>
        <c:axId val="389597952"/>
        <c:scaling>
          <c:orientation val="minMax"/>
        </c:scaling>
        <c:delete val="1"/>
        <c:axPos val="b"/>
        <c:numFmt formatCode="General" sourceLinked="1"/>
        <c:majorTickMark val="out"/>
        <c:minorTickMark val="none"/>
        <c:tickLblPos val="nextTo"/>
        <c:crossAx val="38959878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4181333257938808"/>
          <c:y val="5.3641462625391004E-2"/>
          <c:w val="0.69482934920388084"/>
          <c:h val="0.59820767267105301"/>
        </c:manualLayout>
      </c:layout>
      <c:barChart>
        <c:barDir val="col"/>
        <c:grouping val="clustered"/>
        <c:varyColors val="0"/>
        <c:ser>
          <c:idx val="1"/>
          <c:order val="1"/>
          <c:tx>
            <c:strRef>
              <c:f>'F4 '!$E$1</c:f>
              <c:strCache>
                <c:ptCount val="1"/>
                <c:pt idx="0">
                  <c:v>ADNT at BSE (RHS)</c:v>
                </c:pt>
              </c:strCache>
            </c:strRef>
          </c:tx>
          <c:spPr>
            <a:solidFill>
              <a:srgbClr val="00B050"/>
            </a:solidFill>
            <a:ln>
              <a:noFill/>
            </a:ln>
            <a:effectLst/>
          </c:spPr>
          <c:invertIfNegative val="0"/>
          <c:cat>
            <c:numRef>
              <c:f>'F4 '!$A$2:$A$13</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'F4 '!$E$2:$E$13</c:f>
              <c:numCache>
                <c:formatCode>[&gt;=10000000]#\,##\,##\,##0;[&gt;=100000]#\,##\,##0;##,##0</c:formatCode>
                <c:ptCount val="12"/>
                <c:pt idx="0">
                  <c:v>1149076.579714505</c:v>
                </c:pt>
                <c:pt idx="1">
                  <c:v>1306943.7383416786</c:v>
                </c:pt>
                <c:pt idx="2">
                  <c:v>1668626.379107326</c:v>
                </c:pt>
                <c:pt idx="3">
                  <c:v>1910248.1950051249</c:v>
                </c:pt>
                <c:pt idx="4">
                  <c:v>1877589.023486543</c:v>
                </c:pt>
                <c:pt idx="5">
                  <c:v>2157023.5625705258</c:v>
                </c:pt>
                <c:pt idx="6">
                  <c:v>2632458.2987257265</c:v>
                </c:pt>
                <c:pt idx="7">
                  <c:v>2844478.2670458574</c:v>
                </c:pt>
                <c:pt idx="8">
                  <c:v>3057374.9092755187</c:v>
                </c:pt>
                <c:pt idx="9">
                  <c:v>3595657.0081937932</c:v>
                </c:pt>
                <c:pt idx="10">
                  <c:v>4301098.4515000004</c:v>
                </c:pt>
                <c:pt idx="11">
                  <c:v>4438327.3871428566</c:v>
                </c:pt>
              </c:numCache>
            </c:numRef>
          </c:val>
          <c:extLst>
            <c:ext xmlns:c16="http://schemas.microsoft.com/office/drawing/2014/chart" uri="{C3380CC4-5D6E-409C-BE32-E72D297353CC}">
              <c16:uniqueId val="{00000000-2949-46B7-8FB0-C26DA2504FF8}"/>
            </c:ext>
          </c:extLst>
        </c:ser>
        <c:dLbls>
          <c:showLegendKey val="0"/>
          <c:showVal val="0"/>
          <c:showCatName val="0"/>
          <c:showSerName val="0"/>
          <c:showPercent val="0"/>
          <c:showBubbleSize val="0"/>
        </c:dLbls>
        <c:gapWidth val="219"/>
        <c:overlap val="-27"/>
        <c:axId val="1930973119"/>
        <c:axId val="1954171231"/>
      </c:barChart>
      <c:lineChart>
        <c:grouping val="standard"/>
        <c:varyColors val="0"/>
        <c:ser>
          <c:idx val="0"/>
          <c:order val="0"/>
          <c:tx>
            <c:strRef>
              <c:f>'F4 '!$D$1</c:f>
              <c:strCache>
                <c:ptCount val="1"/>
                <c:pt idx="0">
                  <c:v>ADNT at BSE (LHS)</c:v>
                </c:pt>
              </c:strCache>
            </c:strRef>
          </c:tx>
          <c:spPr>
            <a:ln w="28575" cap="rnd">
              <a:solidFill>
                <a:srgbClr val="FF0000"/>
              </a:solidFill>
              <a:round/>
            </a:ln>
            <a:effectLst/>
          </c:spPr>
          <c:marker>
            <c:symbol val="none"/>
          </c:marker>
          <c:cat>
            <c:numRef>
              <c:f>'F4 '!$A$2:$A$13</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'F4 '!$D$2:$D$13</c:f>
              <c:numCache>
                <c:formatCode>#,##0</c:formatCode>
                <c:ptCount val="12"/>
                <c:pt idx="0">
                  <c:v>6063.8816666666662</c:v>
                </c:pt>
                <c:pt idx="1">
                  <c:v>6197.3447368421057</c:v>
                </c:pt>
                <c:pt idx="2">
                  <c:v>7.0372727272727271</c:v>
                </c:pt>
                <c:pt idx="3">
                  <c:v>26196.207826086957</c:v>
                </c:pt>
                <c:pt idx="4">
                  <c:v>88005.567619047622</c:v>
                </c:pt>
                <c:pt idx="5">
                  <c:v>123934.84768617614</c:v>
                </c:pt>
                <c:pt idx="6">
                  <c:v>161548.20265396428</c:v>
                </c:pt>
                <c:pt idx="7">
                  <c:v>218924.7232084875</c:v>
                </c:pt>
                <c:pt idx="8">
                  <c:v>222827.48463496024</c:v>
                </c:pt>
                <c:pt idx="9">
                  <c:v>246651.46454715001</c:v>
                </c:pt>
                <c:pt idx="10">
                  <c:v>291858.57797283505</c:v>
                </c:pt>
                <c:pt idx="11">
                  <c:v>295833.62791219522</c:v>
                </c:pt>
              </c:numCache>
            </c:numRef>
          </c:val>
          <c:smooth val="0"/>
          <c:extLst>
            <c:ext xmlns:c16="http://schemas.microsoft.com/office/drawing/2014/chart" uri="{C3380CC4-5D6E-409C-BE32-E72D297353CC}">
              <c16:uniqueId val="{00000001-2949-46B7-8FB0-C26DA2504FF8}"/>
            </c:ext>
          </c:extLst>
        </c:ser>
        <c:dLbls>
          <c:showLegendKey val="0"/>
          <c:showVal val="0"/>
          <c:showCatName val="0"/>
          <c:showSerName val="0"/>
          <c:showPercent val="0"/>
          <c:showBubbleSize val="0"/>
        </c:dLbls>
        <c:marker val="1"/>
        <c:smooth val="0"/>
        <c:axId val="1945105631"/>
        <c:axId val="1945106047"/>
      </c:lineChart>
      <c:dateAx>
        <c:axId val="1945105631"/>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45106047"/>
        <c:crosses val="autoZero"/>
        <c:auto val="1"/>
        <c:lblOffset val="100"/>
        <c:baseTimeUnit val="months"/>
      </c:dateAx>
      <c:valAx>
        <c:axId val="1945106047"/>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BSE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45105631"/>
        <c:crosses val="autoZero"/>
        <c:crossBetween val="between"/>
      </c:valAx>
      <c:valAx>
        <c:axId val="1954171231"/>
        <c:scaling>
          <c:orientation val="minMax"/>
          <c:min val="1000000"/>
        </c:scaling>
        <c:delete val="0"/>
        <c:axPos val="r"/>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r>
                  <a:rPr lang="en-US"/>
                  <a:t>NSE</a:t>
                </a:r>
              </a:p>
            </c:rich>
          </c:tx>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title>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30973119"/>
        <c:crosses val="max"/>
        <c:crossBetween val="between"/>
      </c:valAx>
      <c:dateAx>
        <c:axId val="1930973119"/>
        <c:scaling>
          <c:orientation val="minMax"/>
        </c:scaling>
        <c:delete val="1"/>
        <c:axPos val="b"/>
        <c:numFmt formatCode="[$-409]mmm\-yy" sourceLinked="1"/>
        <c:majorTickMark val="out"/>
        <c:minorTickMark val="none"/>
        <c:tickLblPos val="nextTo"/>
        <c:crossAx val="1954171231"/>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1"/>
        <c:ser>
          <c:idx val="0"/>
          <c:order val="0"/>
          <c:tx>
            <c:strRef>
              <c:f>'Index Option'!$E$15</c:f>
              <c:strCache>
                <c:ptCount val="1"/>
                <c:pt idx="0">
                  <c:v>Feb-21</c:v>
                </c:pt>
              </c:strCache>
            </c:strRef>
          </c:tx>
          <c:spPr>
            <a:solidFill>
              <a:srgbClr val="FF000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'Index Option'!$F$14:$H$14</c:f>
              <c:strCache>
                <c:ptCount val="3"/>
                <c:pt idx="0">
                  <c:v>Weekly</c:v>
                </c:pt>
                <c:pt idx="1">
                  <c:v>1 Month</c:v>
                </c:pt>
                <c:pt idx="2">
                  <c:v>&gt; 1 Month</c:v>
                </c:pt>
              </c:strCache>
            </c:strRef>
          </c:cat>
          <c:val>
            <c:numRef>
              <c:f>'Index Option'!$F$15:$H$15</c:f>
              <c:numCache>
                <c:formatCode>#,##0.0</c:formatCode>
                <c:ptCount val="3"/>
                <c:pt idx="0">
                  <c:v>74.045195395356799</c:v>
                </c:pt>
                <c:pt idx="1">
                  <c:v>25.421409105167342</c:v>
                </c:pt>
                <c:pt idx="2">
                  <c:v>0.53339549947587306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0-F86D-41E4-8E38-72ABAC4FBC13}"/>
            </c:ext>
          </c:extLst>
        </c:ser>
        <c:ser>
          <c:idx val="1"/>
          <c:order val="1"/>
          <c:tx>
            <c:strRef>
              <c:f>'Index Option'!$E$16</c:f>
              <c:strCache>
                <c:ptCount val="1"/>
                <c:pt idx="0">
                  <c:v>Mar-21</c:v>
                </c:pt>
              </c:strCache>
            </c:strRef>
          </c:tx>
          <c:spPr>
            <a:solidFill>
              <a:srgbClr val="00B050"/>
            </a:solidFill>
          </c:spPr>
          <c:invertIfNegative val="1"/>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'Index Option'!$F$14:$H$14</c:f>
              <c:strCache>
                <c:ptCount val="3"/>
                <c:pt idx="0">
                  <c:v>Weekly</c:v>
                </c:pt>
                <c:pt idx="1">
                  <c:v>1 Month</c:v>
                </c:pt>
                <c:pt idx="2">
                  <c:v>&gt; 1 Month</c:v>
                </c:pt>
              </c:strCache>
            </c:strRef>
          </c:cat>
          <c:val>
            <c:numRef>
              <c:f>'Index Option'!$F$16:$H$16</c:f>
              <c:numCache>
                <c:formatCode>#,##0.0</c:formatCode>
                <c:ptCount val="3"/>
                <c:pt idx="0">
                  <c:v>74.47664947635154</c:v>
                </c:pt>
                <c:pt idx="1">
                  <c:v>25.008629454744202</c:v>
                </c:pt>
                <c:pt idx="2">
                  <c:v>0.51472106890425839</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 xmlns:c16="http://schemas.microsoft.com/office/drawing/2014/chart" uri="{C3380CC4-5D6E-409C-BE32-E72D297353CC}">
              <c16:uniqueId val="{00000001-F86D-41E4-8E38-72ABAC4FBC13}"/>
            </c:ext>
          </c:extLst>
        </c:ser>
        <c:dLbls>
          <c:showLegendKey val="0"/>
          <c:showVal val="0"/>
          <c:showCatName val="0"/>
          <c:showSerName val="0"/>
          <c:showPercent val="0"/>
          <c:showBubbleSize val="0"/>
        </c:dLbls>
        <c:gapWidth val="150"/>
        <c:axId val="438130079"/>
        <c:axId val="2035117534"/>
      </c:barChart>
      <c:catAx>
        <c:axId val="438130079"/>
        <c:scaling>
          <c:orientation val="minMax"/>
        </c:scaling>
        <c:delete val="0"/>
        <c:axPos val="l"/>
        <c:numFmt formatCode="General" sourceLinked="1"/>
        <c:majorTickMark val="out"/>
        <c:minorTickMark val="cross"/>
        <c:tickLblPos val="nextTo"/>
        <c:crossAx val="2035117534"/>
        <c:crosses val="autoZero"/>
        <c:auto val="1"/>
        <c:lblAlgn val="ctr"/>
        <c:lblOffset val="100"/>
        <c:noMultiLvlLbl val="1"/>
      </c:catAx>
      <c:valAx>
        <c:axId val="2035117534"/>
        <c:scaling>
          <c:orientation val="minMax"/>
        </c:scaling>
        <c:delete val="1"/>
        <c:axPos val="t"/>
        <c:numFmt formatCode="#,##0.0" sourceLinked="1"/>
        <c:majorTickMark val="out"/>
        <c:minorTickMark val="cross"/>
        <c:tickLblPos val="nextTo"/>
        <c:crossAx val="438130079"/>
        <c:crosses val="max"/>
        <c:crossBetween val="between"/>
      </c:valAx>
    </c:plotArea>
    <c:legend>
      <c:legendPos val="b"/>
      <c:layout/>
      <c:overlay val="0"/>
    </c:legend>
    <c:plotVisOnly val="1"/>
    <c:dispBlanksAs val="zero"/>
    <c:showDLblsOverMax val="1"/>
  </c:chart>
  <c:spPr>
    <a:solidFill>
      <a:srgbClr val="FFFFFF"/>
    </a:solidFill>
  </c:spPr>
  <c:txPr>
    <a:bodyPr/>
    <a:lstStyle/>
    <a:p>
      <a:pPr>
        <a:defRPr sz="1000">
          <a:latin typeface="Palatino Linotype" panose="02040502050505030304" pitchFamily="18" charset="0"/>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'F6'!$B$2</c:f>
              <c:strCache>
                <c:ptCount val="1"/>
                <c:pt idx="0">
                  <c:v>NSE (LHS)</c:v>
                </c:pt>
              </c:strCache>
            </c:strRef>
          </c:tx>
          <c:spPr>
            <a:ln w="28575" cap="rnd">
              <a:solidFill>
                <a:schemeClr val="accent1"/>
              </a:solidFill>
              <a:round/>
            </a:ln>
            <a:effectLst/>
          </c:spPr>
          <c:marker>
            <c:symbol val="none"/>
          </c:marker>
          <c:cat>
            <c:numRef>
              <c:f>'F6'!$A$3:$A$14</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'F6'!$B$3:$B$14</c:f>
              <c:numCache>
                <c:formatCode>[&gt;=10000000]#\,##\,##\,##0;[&gt;=100000]#\,##\,##0;##,##0</c:formatCode>
                <c:ptCount val="12"/>
                <c:pt idx="0">
                  <c:v>696282.45724269352</c:v>
                </c:pt>
                <c:pt idx="1">
                  <c:v>729527.23581414134</c:v>
                </c:pt>
                <c:pt idx="2">
                  <c:v>949170.06959089276</c:v>
                </c:pt>
                <c:pt idx="3" formatCode="0\,00\,000;\-0\,00\,000;0">
                  <c:v>943395.67188321159</c:v>
                </c:pt>
                <c:pt idx="4" formatCode="0\,00\,000;\-0\,00\,000;0">
                  <c:v>976864.32951144269</c:v>
                </c:pt>
                <c:pt idx="5" formatCode="0\,00\,000;\-0\,00\,000;0">
                  <c:v>1120073.5900000001</c:v>
                </c:pt>
                <c:pt idx="6" formatCode="0\,00\,000;\-0\,00\,000;0">
                  <c:v>977668.28209999995</c:v>
                </c:pt>
                <c:pt idx="7" formatCode="0\,00\,000;\-0\,00\,000;0">
                  <c:v>1024112.012</c:v>
                </c:pt>
                <c:pt idx="8" formatCode="0\,00\,000;\-0\,00\,000;0">
                  <c:v>1160618.8376070948</c:v>
                </c:pt>
                <c:pt idx="9" formatCode="0\,00\,000;\-0\,00\,000;0">
                  <c:v>1001205.5174880214</c:v>
                </c:pt>
                <c:pt idx="10" formatCode="0\,00\,000;\-0\,00\,000;0">
                  <c:v>1082488.916</c:v>
                </c:pt>
                <c:pt idx="11" formatCode="0\,00\,000;\-0\,00\,000;0">
                  <c:v>1444570.959</c:v>
                </c:pt>
              </c:numCache>
            </c:numRef>
          </c:val>
          <c:smooth val="0"/>
          <c:extLst>
            <c:ext xmlns:c16="http://schemas.microsoft.com/office/drawing/2014/chart" uri="{C3380CC4-5D6E-409C-BE32-E72D297353CC}">
              <c16:uniqueId val="{00000000-6C17-4583-A09D-5A6D1802B000}"/>
            </c:ext>
          </c:extLst>
        </c:ser>
        <c:ser>
          <c:idx val="2"/>
          <c:order val="2"/>
          <c:tx>
            <c:strRef>
              <c:f>'F6'!$D$2</c:f>
              <c:strCache>
                <c:ptCount val="1"/>
                <c:pt idx="0">
                  <c:v>BSE  (LHS)</c:v>
                </c:pt>
              </c:strCache>
            </c:strRef>
          </c:tx>
          <c:spPr>
            <a:ln w="28575" cap="rnd">
              <a:solidFill>
                <a:schemeClr val="accent3"/>
              </a:solidFill>
              <a:round/>
            </a:ln>
            <a:effectLst/>
          </c:spPr>
          <c:marker>
            <c:symbol val="none"/>
          </c:marker>
          <c:cat>
            <c:numRef>
              <c:f>'F6'!$A$3:$A$14</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'F6'!$D$3:$D$14</c:f>
              <c:numCache>
                <c:formatCode>[&gt;=10000000]#\,##\,##\,##0;[&gt;=100000]#\,##\,##0;##,##0</c:formatCode>
                <c:ptCount val="12"/>
                <c:pt idx="0">
                  <c:v>271144.38</c:v>
                </c:pt>
                <c:pt idx="1">
                  <c:v>306144.90000000002</c:v>
                </c:pt>
                <c:pt idx="2">
                  <c:v>467245.2</c:v>
                </c:pt>
                <c:pt idx="3" formatCode="0\,00\,000;\-0\,00\,000;0">
                  <c:v>437166.34</c:v>
                </c:pt>
                <c:pt idx="4" formatCode="0\,00\,000;\-0\,00\,000;0">
                  <c:v>451790.26</c:v>
                </c:pt>
                <c:pt idx="5" formatCode="0\,00\,000;\-0\,00\,000;0">
                  <c:v>429477.39090000006</c:v>
                </c:pt>
                <c:pt idx="6" formatCode="0\,00\,000;\-0\,00\,000;0">
                  <c:v>408890.7488</c:v>
                </c:pt>
                <c:pt idx="7" formatCode="0\,00\,000;\-0\,00\,000;0">
                  <c:v>402246.89210000006</c:v>
                </c:pt>
                <c:pt idx="8" formatCode="0\,00\,000;\-0\,00\,000;0">
                  <c:v>496940.56949999998</c:v>
                </c:pt>
                <c:pt idx="9" formatCode="#,##0">
                  <c:v>440262.21429999999</c:v>
                </c:pt>
                <c:pt idx="10" formatCode="0\,00\,000;\-0\,00\,000;0">
                  <c:v>449170.83260000002</c:v>
                </c:pt>
                <c:pt idx="11" formatCode="0\,00\,000;\-0\,00\,000;0">
                  <c:v>563283.70030000003</c:v>
                </c:pt>
              </c:numCache>
            </c:numRef>
          </c:val>
          <c:smooth val="0"/>
          <c:extLst>
            <c:ext xmlns:c16="http://schemas.microsoft.com/office/drawing/2014/chart" uri="{C3380CC4-5D6E-409C-BE32-E72D297353CC}">
              <c16:uniqueId val="{00000001-6C17-4583-A09D-5A6D1802B000}"/>
            </c:ext>
          </c:extLst>
        </c:ser>
        <c:dLbls>
          <c:showLegendKey val="0"/>
          <c:showVal val="0"/>
          <c:showCatName val="0"/>
          <c:showSerName val="0"/>
          <c:showPercent val="0"/>
          <c:showBubbleSize val="0"/>
        </c:dLbls>
        <c:marker val="1"/>
        <c:smooth val="0"/>
        <c:axId val="1962150111"/>
        <c:axId val="1962148447"/>
      </c:lineChart>
      <c:lineChart>
        <c:grouping val="standard"/>
        <c:varyColors val="0"/>
        <c:ser>
          <c:idx val="1"/>
          <c:order val="1"/>
          <c:tx>
            <c:strRef>
              <c:f>'F6'!$C$2</c:f>
              <c:strCache>
                <c:ptCount val="1"/>
                <c:pt idx="0">
                  <c:v>MSEI (RHS)</c:v>
                </c:pt>
              </c:strCache>
            </c:strRef>
          </c:tx>
          <c:spPr>
            <a:ln w="28575" cap="rnd">
              <a:solidFill>
                <a:schemeClr val="accent2"/>
              </a:solidFill>
              <a:round/>
            </a:ln>
            <a:effectLst/>
          </c:spPr>
          <c:marker>
            <c:symbol val="none"/>
          </c:marker>
          <c:cat>
            <c:numRef>
              <c:f>'F6'!$A$3:$A$14</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'F6'!$C$3:$C$14</c:f>
              <c:numCache>
                <c:formatCode>[&gt;=10000000]#\,##\,##\,##0;[&gt;=100000]#\,##\,##0;##,##0</c:formatCode>
                <c:ptCount val="12"/>
                <c:pt idx="0">
                  <c:v>1785.2814207500001</c:v>
                </c:pt>
                <c:pt idx="1">
                  <c:v>1702.4234337499997</c:v>
                </c:pt>
                <c:pt idx="2">
                  <c:v>2854.2512265</c:v>
                </c:pt>
                <c:pt idx="3" formatCode="#,##0;\-#,##0;0">
                  <c:v>4064.4222235000007</c:v>
                </c:pt>
                <c:pt idx="4" formatCode="#,##0;\-#,##0;0">
                  <c:v>5291.3987129999996</c:v>
                </c:pt>
                <c:pt idx="5" formatCode="#,##0;\-#,##0;0">
                  <c:v>6888.6162975000007</c:v>
                </c:pt>
                <c:pt idx="6" formatCode="#,##0;\-#,##0;0">
                  <c:v>9075.2012660000019</c:v>
                </c:pt>
                <c:pt idx="7" formatCode="#,##0;\-#,##0;0">
                  <c:v>12344.712834499998</c:v>
                </c:pt>
                <c:pt idx="8" formatCode="#,##0;\-#,##0;0">
                  <c:v>14310.276320249999</c:v>
                </c:pt>
                <c:pt idx="9" formatCode="#,##0;\-#,##0;0">
                  <c:v>13562.270864749999</c:v>
                </c:pt>
                <c:pt idx="10" formatCode="#,##0;\-#,##0;0">
                  <c:v>12191.89372125</c:v>
                </c:pt>
                <c:pt idx="11" formatCode="#,##0;\-#,##0;0">
                  <c:v>14323.94781</c:v>
                </c:pt>
              </c:numCache>
            </c:numRef>
          </c:val>
          <c:smooth val="0"/>
          <c:extLst>
            <c:ext xmlns:c16="http://schemas.microsoft.com/office/drawing/2014/chart" uri="{C3380CC4-5D6E-409C-BE32-E72D297353CC}">
              <c16:uniqueId val="{00000002-6C17-4583-A09D-5A6D1802B000}"/>
            </c:ext>
          </c:extLst>
        </c:ser>
        <c:dLbls>
          <c:showLegendKey val="0"/>
          <c:showVal val="0"/>
          <c:showCatName val="0"/>
          <c:showSerName val="0"/>
          <c:showPercent val="0"/>
          <c:showBubbleSize val="0"/>
        </c:dLbls>
        <c:marker val="1"/>
        <c:smooth val="0"/>
        <c:axId val="1942669647"/>
        <c:axId val="91238383"/>
      </c:lineChart>
      <c:dateAx>
        <c:axId val="1962150111"/>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62148447"/>
        <c:crosses val="autoZero"/>
        <c:auto val="1"/>
        <c:lblOffset val="100"/>
        <c:baseTimeUnit val="months"/>
      </c:dateAx>
      <c:valAx>
        <c:axId val="1962148447"/>
        <c:scaling>
          <c:orientation val="minMax"/>
        </c:scaling>
        <c:delete val="0"/>
        <c:axPos val="l"/>
        <c:numFmt formatCode="[&gt;=10000000]#\,##\,##\,##0;[&gt;=10000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62150111"/>
        <c:crosses val="autoZero"/>
        <c:crossBetween val="between"/>
      </c:valAx>
      <c:valAx>
        <c:axId val="91238383"/>
        <c:scaling>
          <c:orientation val="minMax"/>
        </c:scaling>
        <c:delete val="0"/>
        <c:axPos val="r"/>
        <c:numFmt formatCode="[&gt;=10000000]#\,##\,##\,##0;[&gt;=100000]#\,##\,##0;##,##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942669647"/>
        <c:crosses val="max"/>
        <c:crossBetween val="between"/>
      </c:valAx>
      <c:dateAx>
        <c:axId val="1942669647"/>
        <c:scaling>
          <c:orientation val="minMax"/>
        </c:scaling>
        <c:delete val="1"/>
        <c:axPos val="b"/>
        <c:numFmt formatCode="[$-409]mmm\-yy" sourceLinked="1"/>
        <c:majorTickMark val="out"/>
        <c:minorTickMark val="none"/>
        <c:tickLblPos val="nextTo"/>
        <c:crossAx val="91238383"/>
        <c:crosses val="autoZero"/>
        <c:auto val="1"/>
        <c:lblOffset val="100"/>
        <c:baseTimeUnit val="months"/>
      </c:date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'F7'!$B$2</c:f>
              <c:strCache>
                <c:ptCount val="1"/>
                <c:pt idx="0">
                  <c:v>BSE</c:v>
                </c:pt>
              </c:strCache>
            </c:strRef>
          </c:tx>
          <c:spPr>
            <a:ln w="28575" cap="rnd">
              <a:solidFill>
                <a:schemeClr val="accent1"/>
              </a:solidFill>
              <a:round/>
            </a:ln>
            <a:effectLst/>
          </c:spPr>
          <c:marker>
            <c:symbol val="none"/>
          </c:marker>
          <c:cat>
            <c:numRef>
              <c:f>'F7'!$A$3:$A$14</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'F7'!$B$3:$B$14</c:f>
              <c:numCache>
                <c:formatCode>#,##0;\-#,##0;0</c:formatCode>
                <c:ptCount val="12"/>
                <c:pt idx="0">
                  <c:v>2394.6293999999998</c:v>
                </c:pt>
                <c:pt idx="1">
                  <c:v>1898.7684999999999</c:v>
                </c:pt>
                <c:pt idx="2">
                  <c:v>4307.7403000000004</c:v>
                </c:pt>
                <c:pt idx="3">
                  <c:v>4082.3089</c:v>
                </c:pt>
                <c:pt idx="4">
                  <c:v>1339.4258</c:v>
                </c:pt>
                <c:pt idx="5">
                  <c:v>618.83699999999999</c:v>
                </c:pt>
                <c:pt idx="6">
                  <c:v>1949.4366000000005</c:v>
                </c:pt>
                <c:pt idx="7">
                  <c:v>3284.3459999999995</c:v>
                </c:pt>
                <c:pt idx="8">
                  <c:v>1087.3935000000001</c:v>
                </c:pt>
                <c:pt idx="9">
                  <c:v>1100.9360999999999</c:v>
                </c:pt>
                <c:pt idx="10">
                  <c:v>5520.3626999999997</c:v>
                </c:pt>
                <c:pt idx="11">
                  <c:v>14649.4748</c:v>
                </c:pt>
              </c:numCache>
            </c:numRef>
          </c:val>
          <c:smooth val="0"/>
          <c:extLst>
            <c:ext xmlns:c16="http://schemas.microsoft.com/office/drawing/2014/chart" uri="{C3380CC4-5D6E-409C-BE32-E72D297353CC}">
              <c16:uniqueId val="{00000000-8FCA-48D3-BC27-16CB1A7672BB}"/>
            </c:ext>
          </c:extLst>
        </c:ser>
        <c:ser>
          <c:idx val="1"/>
          <c:order val="1"/>
          <c:tx>
            <c:strRef>
              <c:f>'F7'!$C$2</c:f>
              <c:strCache>
                <c:ptCount val="1"/>
                <c:pt idx="0">
                  <c:v>NSE</c:v>
                </c:pt>
              </c:strCache>
            </c:strRef>
          </c:tx>
          <c:spPr>
            <a:ln w="28575" cap="rnd">
              <a:solidFill>
                <a:schemeClr val="accent2"/>
              </a:solidFill>
              <a:round/>
            </a:ln>
            <a:effectLst/>
          </c:spPr>
          <c:marker>
            <c:symbol val="none"/>
          </c:marker>
          <c:cat>
            <c:numRef>
              <c:f>'F7'!$A$3:$A$14</c:f>
              <c:numCache>
                <c:formatCode>[$-409]mmm\-yy</c:formatCode>
                <c:ptCount val="12"/>
                <c:pt idx="0">
                  <c:v>43931</c:v>
                </c:pt>
                <c:pt idx="1">
                  <c:v>43961</c:v>
                </c:pt>
                <c:pt idx="2">
                  <c:v>43992</c:v>
                </c:pt>
                <c:pt idx="3">
                  <c:v>44022</c:v>
                </c:pt>
                <c:pt idx="4">
                  <c:v>44053</c:v>
                </c:pt>
                <c:pt idx="5">
                  <c:v>44084</c:v>
                </c:pt>
                <c:pt idx="6">
                  <c:v>44114</c:v>
                </c:pt>
                <c:pt idx="7">
                  <c:v>44145</c:v>
                </c:pt>
                <c:pt idx="8">
                  <c:v>44175</c:v>
                </c:pt>
                <c:pt idx="9">
                  <c:v>44206</c:v>
                </c:pt>
                <c:pt idx="10">
                  <c:v>44237</c:v>
                </c:pt>
                <c:pt idx="11">
                  <c:v>44265</c:v>
                </c:pt>
              </c:numCache>
            </c:numRef>
          </c:cat>
          <c:val>
            <c:numRef>
              <c:f>'F7'!$C$3:$C$14</c:f>
              <c:numCache>
                <c:formatCode>#,##0;\-#,##0;0</c:formatCode>
                <c:ptCount val="12"/>
                <c:pt idx="0">
                  <c:v>9733.7467485000016</c:v>
                </c:pt>
                <c:pt idx="1">
                  <c:v>12197.847997499997</c:v>
                </c:pt>
                <c:pt idx="2">
                  <c:v>16790.040404000003</c:v>
                </c:pt>
                <c:pt idx="3">
                  <c:v>11477.779758999999</c:v>
                </c:pt>
                <c:pt idx="4">
                  <c:v>8836.0223354999998</c:v>
                </c:pt>
                <c:pt idx="5">
                  <c:v>7968.2005550000003</c:v>
                </c:pt>
                <c:pt idx="6">
                  <c:v>5969.361613</c:v>
                </c:pt>
                <c:pt idx="7">
                  <c:v>3735.2176584999997</c:v>
                </c:pt>
                <c:pt idx="8">
                  <c:v>5464.1321635000004</c:v>
                </c:pt>
                <c:pt idx="9">
                  <c:v>4093.5442204999999</c:v>
                </c:pt>
                <c:pt idx="10">
                  <c:v>6734.7814850000004</c:v>
                </c:pt>
                <c:pt idx="11">
                  <c:v>4389.8273959999997</c:v>
                </c:pt>
              </c:numCache>
            </c:numRef>
          </c:val>
          <c:smooth val="0"/>
          <c:extLst>
            <c:ext xmlns:c16="http://schemas.microsoft.com/office/drawing/2014/chart" uri="{C3380CC4-5D6E-409C-BE32-E72D297353CC}">
              <c16:uniqueId val="{00000001-8FCA-48D3-BC27-16CB1A7672BB}"/>
            </c:ext>
          </c:extLst>
        </c:ser>
        <c:dLbls>
          <c:showLegendKey val="0"/>
          <c:showVal val="0"/>
          <c:showCatName val="0"/>
          <c:showSerName val="0"/>
          <c:showPercent val="0"/>
          <c:showBubbleSize val="0"/>
        </c:dLbls>
        <c:smooth val="0"/>
        <c:axId val="1842193055"/>
        <c:axId val="1842195135"/>
      </c:lineChart>
      <c:dateAx>
        <c:axId val="1842193055"/>
        <c:scaling>
          <c:orientation val="minMax"/>
        </c:scaling>
        <c:delete val="0"/>
        <c:axPos val="b"/>
        <c:numFmt formatCode="[$-409]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842195135"/>
        <c:crosses val="autoZero"/>
        <c:auto val="1"/>
        <c:lblOffset val="100"/>
        <c:baseTimeUnit val="months"/>
      </c:dateAx>
      <c:valAx>
        <c:axId val="1842195135"/>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crossAx val="184219305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Palatino Linotype" panose="02040502050505030304" pitchFamily="18" charset="0"/>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000" b="1">
          <a:latin typeface="Palatino Linotype" panose="02040502050505030304" pitchFamily="18"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Klassify>
  <SNO>4</SNO>
  <KDate>2021-03-04 12:07:01</KDate>
  <Classification>SEBI-INTERNAL</Classification>
  <HostName>MUM0111649</HostName>
  <Domain_User>SEBINT/1649</Domain_User>
  <IPAdd>10.88.99.116</IPAdd>
  <FilePath>C:\Users\1649\AppData\Roaming\Klassify\83779\Bulletin-February 2021.docx</FilePath>
  <KID>7427EA48EFCA637066619672483538</KID>
</Klassify>
</file>

<file path=customXml/item10.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Klassify>
  <SNO>2</SNO>
  <KDate>2019-10-17 16:00:03</KDate>
  <Classification>SEBI-PUBLIC</Classification>
  <HostName>MUM0111515A</HostName>
  <Domain_User>SEBINT/1515</Domain_User>
  <IPAdd>10.21.53.15</IPAdd>
  <FilePath>E:\C Drive Data 19.12.2017\DEPA 2019\10. October 2019\SEBI Bulletin October 2019 Issue.docx</FilePath>
  <KID>7427EA48EFCA637066619672483538</KID>
  <UniqueName/>
  <Suggested/>
  <Justification/>
</Klassify>
</file>

<file path=customXml/item3.xml><?xml version="1.0" encoding="utf-8"?>
<Klassify>
  <SNO>1</SNO>
  <KDate>2019-10-14 14:59:27</KDate>
  <Classification>SEBI-CONFIDENTIAL</Classification>
  <HostName>MUM0111832</HostName>
  <Domain_User>SEBINT/1832</Domain_User>
  <IPAdd>10.21.77.31</IPAdd>
  <FilePath>C:\Users\1832\Documents\Work_HO_DEPA\2019-20\Bulletin\October 2019\SEBI Bulletin October 2019 Issue.docx</FilePath>
  <KID>7427EA48EFCA637066619672483538</KID>
  <UniqueName/>
  <Suggested/>
  <Justification/>
</Klassify>
</file>

<file path=customXml/item4.xml><?xml version="1.0" encoding="utf-8"?>
<Klassify>
  <SNO>3</SNO>
  <KDate>2021-03-03 12:56:47</KDate>
  <Classification>SEBI-INTERNAL</Classification>
  <HostName>MUM0111564</HostName>
  <Domain_User>SEBINT/1564</Domain_User>
  <IPAdd>10.88.101.238</IPAdd>
  <FilePath>C:\Users\1564\AppData\Roaming\Klassify\47103\Bulletin-February 2021.docx</FilePath>
  <KID>7427EA48EFCA637066619672483538</KID>
</Klassify>
</file>

<file path=customXml/item5.xml><?xml version="1.0" encoding="utf-8"?>
<Klassify>
  <SNO>6</SNO>
  <KDate>2021-03-04 13:03:23</KDate>
  <Classification>SEBI-PUBLIC</Classification>
  <HostName>MUM0111649</HostName>
  <Domain_User>SEBINT/1649</Domain_User>
  <IPAdd>10.88.99.116</IPAdd>
  <FilePath>C:\Users\1649\Desktop\Bulletin Feb 2021\Bulletin Files\Bulletin-February 2021 Revised.docx</FilePath>
  <KID>7427EA48EFCA637066619672483538</KID>
  <UniqueName/>
  <Suggested/>
  <Justification/>
</Klassify>
</file>

<file path=customXml/item6.xml>
</file>

<file path=customXml/item7.xml>
</file>

<file path=customXml/item8.xml>
</file>

<file path=customXml/item9.xml><?xml version="1.0" encoding="utf-8"?>
<Klassify>
  <SNO>5</SNO>
  <KDate>2021-03-04 12:15:09</KDate>
  <Classification>SEBI-INTERNAL</Classification>
  <HostName>MUM0111832</HostName>
  <Domain_User>SEBINT/1832</Domain_User>
  <IPAdd>10.88.99.209</IPAdd>
  <FilePath>C:\Users\1832\AppData\Roaming\Klassify\57909\Bulletin-February 2021.docx</FilePath>
  <KID>7427EA48EFCA637066619672483538</KID>
</Klassify>
</file>

<file path=customXml/itemProps1.xml><?xml version="1.0" encoding="utf-8"?>
<ds:datastoreItem xmlns:ds="http://schemas.openxmlformats.org/officeDocument/2006/customXml" ds:itemID="{D7543C77-5EBC-46F2-AC21-5D702358D3EF}">
  <ds:schemaRefs/>
</ds:datastoreItem>
</file>

<file path=customXml/itemProps10.xml><?xml version="1.0" encoding="utf-8"?>
<ds:datastoreItem xmlns:ds="http://schemas.openxmlformats.org/officeDocument/2006/customXml" ds:itemID="{626B80BE-AA5D-4D29-AEC2-ACDE5F02433B}">
  <ds:schemaRefs>
    <ds:schemaRef ds:uri="http://schemas.openxmlformats.org/officeDocument/2006/bibliography"/>
  </ds:schemaRefs>
</ds:datastoreItem>
</file>

<file path=customXml/itemProps2.xml><?xml version="1.0" encoding="utf-8"?>
<ds:datastoreItem xmlns:ds="http://schemas.openxmlformats.org/officeDocument/2006/customXml" ds:itemID="{982F008C-5608-4977-B1FB-BF780A09BDC2}">
  <ds:schemaRefs/>
</ds:datastoreItem>
</file>

<file path=customXml/itemProps3.xml><?xml version="1.0" encoding="utf-8"?>
<ds:datastoreItem xmlns:ds="http://schemas.openxmlformats.org/officeDocument/2006/customXml" ds:itemID="{AC874CF5-52D4-4685-80EC-6F1B86646A89}">
  <ds:schemaRefs/>
</ds:datastoreItem>
</file>

<file path=customXml/itemProps4.xml><?xml version="1.0" encoding="utf-8"?>
<ds:datastoreItem xmlns:ds="http://schemas.openxmlformats.org/officeDocument/2006/customXml" ds:itemID="{D7543C77-5EBC-46F2-AC21-5D702358D3EF}">
  <ds:schemaRefs/>
</ds:datastoreItem>
</file>

<file path=customXml/itemProps5.xml><?xml version="1.0" encoding="utf-8"?>
<ds:datastoreItem xmlns:ds="http://schemas.openxmlformats.org/officeDocument/2006/customXml" ds:itemID="{2C38164C-8094-471D-AC2C-77D018C8E0F2}">
  <ds:schemaRefs/>
</ds:datastoreItem>
</file>

<file path=customXml/itemProps6.xml><?xml version="1.0" encoding="utf-8"?>
<ds:datastoreItem xmlns:ds="http://schemas.openxmlformats.org/officeDocument/2006/customXml" ds:itemID="{FFFCDC47-2152-406C-A3E3-98A02192763B}"/>
</file>

<file path=customXml/itemProps7.xml><?xml version="1.0" encoding="utf-8"?>
<ds:datastoreItem xmlns:ds="http://schemas.openxmlformats.org/officeDocument/2006/customXml" ds:itemID="{F1A90E88-F8CE-47CC-B1F2-2802B9D4F2FE}"/>
</file>

<file path=customXml/itemProps8.xml><?xml version="1.0" encoding="utf-8"?>
<ds:datastoreItem xmlns:ds="http://schemas.openxmlformats.org/officeDocument/2006/customXml" ds:itemID="{8A5DE7B4-0207-485C-AD2D-76752FDBC33F}"/>
</file>

<file path=customXml/itemProps9.xml><?xml version="1.0" encoding="utf-8"?>
<ds:datastoreItem xmlns:ds="http://schemas.openxmlformats.org/officeDocument/2006/customXml" ds:itemID="{D7543C77-5EBC-46F2-AC21-5D702358D3EF}">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13633</Words>
  <Characters>77712</Characters>
  <Application>Microsoft Office Word</Application>
  <DocSecurity>0</DocSecurity>
  <Lines>647</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Tathagata Biswas</dc:creator>
  <cp:keywords/>
  <dc:description/>
  <cp:lastModifiedBy>A V SUBBA RAO</cp:lastModifiedBy>
  <cp:revision>2</cp:revision>
  <cp:lastPrinted>2021-01-25T05:51:00Z</cp:lastPrinted>
  <dcterms:created xsi:type="dcterms:W3CDTF">2021-05-19T10:28:00Z</dcterms:created>
  <dcterms:modified xsi:type="dcterms:W3CDTF">2021-05-19T10:28:00Z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ules">
    <vt:lpwstr/>
  </property>
  <property fmtid="{D5CDD505-2E9C-101B-9397-08002B2CF9AE}" pid="3" name="Classification">
    <vt:lpwstr>SEBI-PUBLIC</vt:lpwstr>
  </property>
  <property fmtid="{D5CDD505-2E9C-101B-9397-08002B2CF9AE}" pid="4" name="KID">
    <vt:lpwstr>7427EA48EFCA637066619672483538</vt:lpwstr>
  </property>
</Properties>
</file>